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F4" w:rsidRPr="00ED435C" w:rsidRDefault="00D44EF4" w:rsidP="00945347">
      <w:pPr>
        <w:spacing w:after="0"/>
        <w:jc w:val="center"/>
        <w:rPr>
          <w:rFonts w:cs="Times New Roman"/>
          <w:b/>
          <w:sz w:val="32"/>
          <w:szCs w:val="24"/>
        </w:rPr>
      </w:pPr>
      <w:r>
        <w:rPr>
          <w:rFonts w:cs="Times New Roman"/>
          <w:szCs w:val="24"/>
        </w:rPr>
        <w:t>Review Article</w:t>
      </w:r>
    </w:p>
    <w:p w:rsidR="00D44EF4" w:rsidRDefault="00D44EF4" w:rsidP="00945347">
      <w:pPr>
        <w:spacing w:after="0"/>
        <w:jc w:val="center"/>
        <w:rPr>
          <w:rFonts w:cs="Times New Roman"/>
          <w:b/>
          <w:szCs w:val="24"/>
        </w:rPr>
      </w:pPr>
    </w:p>
    <w:p w:rsidR="00D44EF4" w:rsidRPr="00ED435C" w:rsidRDefault="00C64BDA" w:rsidP="00945347">
      <w:pPr>
        <w:spacing w:after="0"/>
        <w:jc w:val="center"/>
        <w:rPr>
          <w:rFonts w:cs="Times New Roman"/>
          <w:b/>
          <w:szCs w:val="24"/>
        </w:rPr>
      </w:pPr>
      <w:proofErr w:type="spellStart"/>
      <w:r>
        <w:rPr>
          <w:rFonts w:cs="Times New Roman"/>
          <w:b/>
          <w:szCs w:val="24"/>
        </w:rPr>
        <w:t>Phytogenics</w:t>
      </w:r>
      <w:proofErr w:type="spellEnd"/>
      <w:r>
        <w:rPr>
          <w:rFonts w:cs="Times New Roman"/>
          <w:b/>
          <w:szCs w:val="24"/>
        </w:rPr>
        <w:t xml:space="preserve"> in Aquaculture: A Short R</w:t>
      </w:r>
      <w:r w:rsidR="00331B3F">
        <w:rPr>
          <w:rFonts w:cs="Times New Roman"/>
          <w:b/>
          <w:szCs w:val="24"/>
        </w:rPr>
        <w:t>eview of</w:t>
      </w:r>
      <w:r>
        <w:rPr>
          <w:rFonts w:cs="Times New Roman"/>
          <w:b/>
          <w:szCs w:val="24"/>
        </w:rPr>
        <w:t xml:space="preserve"> Their E</w:t>
      </w:r>
      <w:r w:rsidR="00331B3F">
        <w:rPr>
          <w:rFonts w:cs="Times New Roman"/>
          <w:b/>
          <w:szCs w:val="24"/>
        </w:rPr>
        <w:t>ffects on</w:t>
      </w:r>
      <w:r>
        <w:rPr>
          <w:rFonts w:cs="Times New Roman"/>
          <w:b/>
          <w:szCs w:val="24"/>
        </w:rPr>
        <w:t xml:space="preserve"> Gut Health and Microflora in F</w:t>
      </w:r>
      <w:r w:rsidR="00D44EF4" w:rsidRPr="00F82163">
        <w:rPr>
          <w:rFonts w:cs="Times New Roman"/>
          <w:b/>
          <w:szCs w:val="24"/>
        </w:rPr>
        <w:t xml:space="preserve">ish </w:t>
      </w:r>
    </w:p>
    <w:p w:rsidR="00D44EF4" w:rsidRDefault="00D44EF4" w:rsidP="00945347">
      <w:pPr>
        <w:spacing w:after="0"/>
        <w:jc w:val="center"/>
        <w:rPr>
          <w:rFonts w:cs="Times New Roman"/>
          <w:szCs w:val="24"/>
        </w:rPr>
      </w:pPr>
      <w:r>
        <w:rPr>
          <w:rFonts w:cs="Times New Roman"/>
          <w:szCs w:val="24"/>
        </w:rPr>
        <w:t xml:space="preserve">Christopher Marlowe A. </w:t>
      </w:r>
      <w:proofErr w:type="spellStart"/>
      <w:r>
        <w:rPr>
          <w:rFonts w:cs="Times New Roman"/>
          <w:szCs w:val="24"/>
        </w:rPr>
        <w:t>Caipang</w:t>
      </w:r>
      <w:proofErr w:type="spellEnd"/>
      <w:r>
        <w:rPr>
          <w:rFonts w:cs="Times New Roman"/>
          <w:szCs w:val="24"/>
        </w:rPr>
        <w:t xml:space="preserve">*, </w:t>
      </w:r>
    </w:p>
    <w:p w:rsidR="00D44EF4" w:rsidRDefault="00D44EF4" w:rsidP="00945347">
      <w:pPr>
        <w:spacing w:after="0"/>
        <w:jc w:val="center"/>
        <w:rPr>
          <w:rFonts w:cs="Times New Roman"/>
          <w:i/>
          <w:iCs/>
          <w:szCs w:val="24"/>
        </w:rPr>
      </w:pPr>
      <w:r w:rsidRPr="00F82163">
        <w:rPr>
          <w:rFonts w:cs="Times New Roman"/>
          <w:i/>
          <w:iCs/>
          <w:szCs w:val="24"/>
        </w:rPr>
        <w:t xml:space="preserve">College of Liberal Arts, Sciences, and Education and the Center for Chemical Biology and Biotechnology, University of San Agustin, Iloilo City 5000, Philippines </w:t>
      </w:r>
    </w:p>
    <w:p w:rsidR="00D44EF4" w:rsidRPr="00F82163" w:rsidRDefault="00D44EF4" w:rsidP="00945347">
      <w:pPr>
        <w:spacing w:after="0"/>
        <w:rPr>
          <w:rFonts w:cs="Times New Roman"/>
          <w:b/>
          <w:sz w:val="32"/>
          <w:szCs w:val="24"/>
        </w:rPr>
      </w:pPr>
    </w:p>
    <w:p w:rsidR="00D44EF4" w:rsidRDefault="00D44EF4" w:rsidP="00945347">
      <w:pPr>
        <w:autoSpaceDE w:val="0"/>
        <w:autoSpaceDN w:val="0"/>
        <w:adjustRightInd w:val="0"/>
        <w:spacing w:after="0"/>
        <w:rPr>
          <w:rFonts w:cs="Times New Roman"/>
          <w:szCs w:val="24"/>
        </w:rPr>
      </w:pPr>
      <w:r>
        <w:rPr>
          <w:rFonts w:cs="Times New Roman"/>
          <w:szCs w:val="24"/>
        </w:rPr>
        <w:t>*Corresponding Author</w:t>
      </w:r>
    </w:p>
    <w:p w:rsidR="001E4BBB" w:rsidRDefault="001E4BBB" w:rsidP="00945347">
      <w:pPr>
        <w:autoSpaceDE w:val="0"/>
        <w:autoSpaceDN w:val="0"/>
        <w:adjustRightInd w:val="0"/>
        <w:spacing w:after="0"/>
        <w:rPr>
          <w:u w:val="single"/>
        </w:rPr>
      </w:pPr>
      <w:r>
        <w:t>Email:</w:t>
      </w:r>
      <w:r>
        <w:rPr>
          <w:u w:val="single"/>
        </w:rPr>
        <w:t xml:space="preserve"> </w:t>
      </w:r>
    </w:p>
    <w:p w:rsidR="001E4BBB" w:rsidRPr="00341F34" w:rsidRDefault="001E4BBB" w:rsidP="00945347">
      <w:pPr>
        <w:spacing w:after="0"/>
      </w:pPr>
      <w:r>
        <w:rPr>
          <w:rFonts w:cs="Times New Roman"/>
        </w:rPr>
        <w:t xml:space="preserve">Contact number: </w:t>
      </w:r>
    </w:p>
    <w:p w:rsidR="00D44EF4" w:rsidRPr="00945347" w:rsidRDefault="001E4BBB" w:rsidP="00945347">
      <w:pPr>
        <w:spacing w:after="0"/>
        <w:rPr>
          <w:b/>
          <w:sz w:val="32"/>
        </w:rPr>
      </w:pPr>
      <w:r>
        <w:rPr>
          <w:lang w:val="en-PH"/>
        </w:rPr>
        <w:t xml:space="preserve">ORCID identifier (At least the corresponding author must have an ORCID identifier. If you haven’t registered yet, please do so through this link </w:t>
      </w:r>
      <w:r w:rsidRPr="00205805">
        <w:rPr>
          <w:lang w:val="en-PH"/>
        </w:rPr>
        <w:t>https://orcid.org/register</w:t>
      </w:r>
      <w:r>
        <w:rPr>
          <w:lang w:val="en-PH"/>
        </w:rPr>
        <w:t>):</w:t>
      </w:r>
    </w:p>
    <w:p w:rsidR="00CC65F4" w:rsidRPr="00945347" w:rsidRDefault="00D44EF4" w:rsidP="00945347">
      <w:pPr>
        <w:spacing w:after="0"/>
        <w:jc w:val="left"/>
        <w:rPr>
          <w:rFonts w:cs="Times New Roman"/>
          <w:szCs w:val="24"/>
        </w:rPr>
      </w:pPr>
      <w:r>
        <w:rPr>
          <w:rFonts w:cs="Times New Roman"/>
          <w:szCs w:val="24"/>
        </w:rPr>
        <w:br w:type="page"/>
      </w:r>
      <w:proofErr w:type="spellStart"/>
      <w:r w:rsidR="009F6756">
        <w:rPr>
          <w:rFonts w:cs="Times New Roman"/>
          <w:b/>
          <w:sz w:val="32"/>
          <w:szCs w:val="32"/>
        </w:rPr>
        <w:lastRenderedPageBreak/>
        <w:t>Phytogenics</w:t>
      </w:r>
      <w:proofErr w:type="spellEnd"/>
      <w:r w:rsidR="009F6756">
        <w:rPr>
          <w:rFonts w:cs="Times New Roman"/>
          <w:b/>
          <w:sz w:val="32"/>
          <w:szCs w:val="32"/>
        </w:rPr>
        <w:t xml:space="preserve"> in Aquaculture: A Short Review of Their Effects on Gut Health and Microflora in Fish</w:t>
      </w:r>
    </w:p>
    <w:p w:rsidR="00CC65F4" w:rsidRDefault="009F6756" w:rsidP="00945347">
      <w:pPr>
        <w:snapToGrid w:val="0"/>
        <w:spacing w:after="0"/>
        <w:jc w:val="center"/>
        <w:rPr>
          <w:rFonts w:cs="Times New Roman"/>
          <w:b/>
          <w:szCs w:val="24"/>
        </w:rPr>
      </w:pPr>
      <w:r>
        <w:rPr>
          <w:rFonts w:cs="Times New Roman"/>
          <w:b/>
          <w:szCs w:val="24"/>
        </w:rPr>
        <w:t>Abstract</w:t>
      </w:r>
    </w:p>
    <w:p w:rsidR="00CC65F4" w:rsidRDefault="009F6756" w:rsidP="00945347">
      <w:pPr>
        <w:snapToGrid w:val="0"/>
        <w:spacing w:after="0"/>
        <w:ind w:firstLine="720"/>
        <w:rPr>
          <w:rFonts w:cs="Times New Roman"/>
          <w:szCs w:val="24"/>
        </w:rPr>
      </w:pPr>
      <w:r>
        <w:rPr>
          <w:rFonts w:cs="Times New Roman"/>
          <w:szCs w:val="24"/>
        </w:rPr>
        <w:t xml:space="preserve">Increasing pace in aquaculture development to meet the growing food requirements of the population has greatly compromised the carrying capacity of the culture environment and has placed the </w:t>
      </w:r>
      <w:proofErr w:type="spellStart"/>
      <w:r>
        <w:rPr>
          <w:rFonts w:cs="Times New Roman"/>
          <w:szCs w:val="24"/>
        </w:rPr>
        <w:t>aquacultured</w:t>
      </w:r>
      <w:proofErr w:type="spellEnd"/>
      <w:r>
        <w:rPr>
          <w:rFonts w:cs="Times New Roman"/>
          <w:szCs w:val="24"/>
        </w:rPr>
        <w:t xml:space="preserve"> animals at heightened risk of getting diseases due to pathogens.   At present, chemotherapy is widely used as means to prevent or treat infectious diseases in aquaculture; however, the use of these drugs poses multiple negative impacts on fish and human health, as well as the environment. Recently, research initiatives are focused on the use of plant products and their derivatives as a means of controlling diseases in aquaculture. They are regarded as a promising alternative to the use of chemical treatments for infectious diseases in fish. Plant-derived products or </w:t>
      </w:r>
      <w:proofErr w:type="spellStart"/>
      <w:r>
        <w:rPr>
          <w:rFonts w:cs="Times New Roman"/>
          <w:szCs w:val="24"/>
        </w:rPr>
        <w:t>phytogenics</w:t>
      </w:r>
      <w:proofErr w:type="spellEnd"/>
      <w:r>
        <w:rPr>
          <w:rFonts w:cs="Times New Roman"/>
          <w:szCs w:val="24"/>
        </w:rPr>
        <w:t xml:space="preserve"> have been shown to stimulate appetite and promote weight gain in farmed animals, act as </w:t>
      </w:r>
      <w:proofErr w:type="spellStart"/>
      <w:r>
        <w:rPr>
          <w:rFonts w:cs="Times New Roman"/>
          <w:szCs w:val="24"/>
        </w:rPr>
        <w:t>immunostimulants</w:t>
      </w:r>
      <w:proofErr w:type="spellEnd"/>
      <w:r>
        <w:rPr>
          <w:rFonts w:cs="Times New Roman"/>
          <w:szCs w:val="24"/>
        </w:rPr>
        <w:t xml:space="preserve">, and possess potent anti-pathogenic properties in fish. Their potency is mediated by the presence of bioactive molecules including alkaloids, </w:t>
      </w:r>
      <w:proofErr w:type="spellStart"/>
      <w:r>
        <w:rPr>
          <w:rFonts w:cs="Times New Roman"/>
          <w:szCs w:val="24"/>
        </w:rPr>
        <w:t>terpenoids</w:t>
      </w:r>
      <w:proofErr w:type="spellEnd"/>
      <w:r>
        <w:rPr>
          <w:rFonts w:cs="Times New Roman"/>
          <w:szCs w:val="24"/>
        </w:rPr>
        <w:t xml:space="preserve">, </w:t>
      </w:r>
      <w:proofErr w:type="spellStart"/>
      <w:r>
        <w:rPr>
          <w:rFonts w:cs="Times New Roman"/>
          <w:szCs w:val="24"/>
        </w:rPr>
        <w:t>saponins</w:t>
      </w:r>
      <w:proofErr w:type="spellEnd"/>
      <w:r>
        <w:rPr>
          <w:rFonts w:cs="Times New Roman"/>
          <w:szCs w:val="24"/>
        </w:rPr>
        <w:t xml:space="preserve">, and flavonoids, among others. Moreover, nutritional strategies are geared towards the use of these </w:t>
      </w:r>
      <w:proofErr w:type="spellStart"/>
      <w:r>
        <w:rPr>
          <w:rFonts w:cs="Times New Roman"/>
          <w:szCs w:val="24"/>
        </w:rPr>
        <w:t>phytogenics</w:t>
      </w:r>
      <w:proofErr w:type="spellEnd"/>
      <w:r>
        <w:rPr>
          <w:rFonts w:cs="Times New Roman"/>
          <w:szCs w:val="24"/>
        </w:rPr>
        <w:t xml:space="preserve"> in modulating immune and physiological responses, as well as promoting optimum health and microbial community in the gastrointestinal tract of fish. This review synthesizes the current knowledge on the use of phytogenic feed additives in aquaculture by focusing on how these substances act as modulators of health and bacterial community in the gut of fish.</w:t>
      </w:r>
    </w:p>
    <w:p w:rsidR="00CC65F4" w:rsidRDefault="00CC65F4" w:rsidP="00945347">
      <w:pPr>
        <w:snapToGrid w:val="0"/>
        <w:spacing w:after="0"/>
        <w:ind w:right="27" w:firstLine="720"/>
        <w:rPr>
          <w:rFonts w:cs="Times New Roman"/>
          <w:szCs w:val="24"/>
        </w:rPr>
      </w:pPr>
    </w:p>
    <w:p w:rsidR="00945347" w:rsidRPr="00945347" w:rsidRDefault="009F6756" w:rsidP="00945347">
      <w:pPr>
        <w:snapToGrid w:val="0"/>
        <w:spacing w:after="0"/>
        <w:jc w:val="left"/>
        <w:rPr>
          <w:rFonts w:cs="Times New Roman"/>
          <w:szCs w:val="24"/>
        </w:rPr>
      </w:pPr>
      <w:r>
        <w:rPr>
          <w:rFonts w:cs="Times New Roman"/>
          <w:i/>
          <w:szCs w:val="24"/>
        </w:rPr>
        <w:t xml:space="preserve">Keywords: </w:t>
      </w:r>
      <w:r>
        <w:rPr>
          <w:rFonts w:cs="Times New Roman"/>
          <w:szCs w:val="24"/>
        </w:rPr>
        <w:t xml:space="preserve">aquaculture, immune response, microbiome, mucosal immunity, </w:t>
      </w:r>
      <w:proofErr w:type="spellStart"/>
      <w:r>
        <w:rPr>
          <w:rFonts w:cs="Times New Roman"/>
          <w:szCs w:val="24"/>
        </w:rPr>
        <w:t>phytobiotics</w:t>
      </w:r>
      <w:proofErr w:type="spellEnd"/>
      <w:r w:rsidR="00945347">
        <w:rPr>
          <w:rFonts w:cs="Times New Roman"/>
          <w:b/>
          <w:szCs w:val="24"/>
        </w:rPr>
        <w:br w:type="page"/>
      </w:r>
    </w:p>
    <w:p w:rsidR="00CC65F4" w:rsidRDefault="009F6756" w:rsidP="00945347">
      <w:pPr>
        <w:spacing w:line="259" w:lineRule="auto"/>
        <w:jc w:val="left"/>
        <w:rPr>
          <w:rFonts w:cs="Times New Roman"/>
          <w:b/>
          <w:szCs w:val="24"/>
        </w:rPr>
      </w:pPr>
      <w:r>
        <w:rPr>
          <w:rFonts w:cs="Times New Roman"/>
          <w:b/>
          <w:szCs w:val="24"/>
        </w:rPr>
        <w:lastRenderedPageBreak/>
        <w:t>1.  Introduction</w:t>
      </w:r>
    </w:p>
    <w:p w:rsidR="00CC65F4" w:rsidRDefault="009F6756">
      <w:pPr>
        <w:spacing w:after="0"/>
        <w:ind w:firstLine="720"/>
        <w:rPr>
          <w:rFonts w:cs="Times New Roman"/>
          <w:szCs w:val="24"/>
        </w:rPr>
      </w:pPr>
      <w:r>
        <w:rPr>
          <w:rFonts w:cs="Times New Roman"/>
          <w:szCs w:val="24"/>
        </w:rPr>
        <w:t xml:space="preserve">There is a growing interest in developing various feed formulations and feeding strategies that can stimulate the development and health status of the gut in fish as well to modulate the microbial community in the gastro-intestinal tract. These strategies are aimed towards improvement in aquaculture productivity. As intensification proceeds, various diseases and health issues are critical in an aquaculture facility. It is widely known that disease outbreaks in an aquaculture site are due to several factors, which are related to the husbandry and the prevailing environmental conditions. As a result, </w:t>
      </w:r>
      <w:proofErr w:type="spellStart"/>
      <w:r>
        <w:rPr>
          <w:rFonts w:cs="Times New Roman"/>
          <w:szCs w:val="24"/>
        </w:rPr>
        <w:t>aquacultured</w:t>
      </w:r>
      <w:proofErr w:type="spellEnd"/>
      <w:r>
        <w:rPr>
          <w:rFonts w:cs="Times New Roman"/>
          <w:szCs w:val="24"/>
        </w:rPr>
        <w:t xml:space="preserve"> fish are becoming more susceptible to both pathogenic and opportunistic bacteria.</w:t>
      </w:r>
    </w:p>
    <w:p w:rsidR="00CC65F4" w:rsidRDefault="009F6756">
      <w:pPr>
        <w:spacing w:after="0"/>
        <w:rPr>
          <w:rFonts w:cs="Times New Roman"/>
          <w:szCs w:val="24"/>
        </w:rPr>
      </w:pPr>
      <w:r>
        <w:rPr>
          <w:rFonts w:cs="Times New Roman"/>
          <w:szCs w:val="24"/>
        </w:rPr>
        <w:tab/>
        <w:t xml:space="preserve">The use of antibiotics and </w:t>
      </w:r>
      <w:proofErr w:type="spellStart"/>
      <w:r>
        <w:rPr>
          <w:rFonts w:cs="Times New Roman"/>
          <w:szCs w:val="24"/>
        </w:rPr>
        <w:t>chemotherapeutants</w:t>
      </w:r>
      <w:proofErr w:type="spellEnd"/>
      <w:r>
        <w:rPr>
          <w:rFonts w:cs="Times New Roman"/>
          <w:szCs w:val="24"/>
        </w:rPr>
        <w:t xml:space="preserve"> for the treatment and prophylaxis in intensive aquaculture is losing its popularity because of their negative impacts to the host and to their immediate environment. As a result, several studies on the interactions between growth and immunity in fish, as well as the development of environment-friendly alternatives to antibiotics that would keep the fish healthy, are being conducted. More specifically, studies on the development of probiotics and natural </w:t>
      </w:r>
      <w:proofErr w:type="spellStart"/>
      <w:r>
        <w:rPr>
          <w:rFonts w:cs="Times New Roman"/>
          <w:szCs w:val="24"/>
        </w:rPr>
        <w:t>immunostimulants</w:t>
      </w:r>
      <w:proofErr w:type="spellEnd"/>
      <w:r>
        <w:rPr>
          <w:rFonts w:cs="Times New Roman"/>
          <w:szCs w:val="24"/>
        </w:rPr>
        <w:t xml:space="preserve"> have increased, as well as improvements on technological knowledge for the treatment of both infectious and non-infectious diseases are gaining much attention and support as tools for fish health management (</w:t>
      </w:r>
      <w:proofErr w:type="spellStart"/>
      <w:r>
        <w:rPr>
          <w:rFonts w:cs="Times New Roman"/>
          <w:szCs w:val="24"/>
        </w:rPr>
        <w:t>Bondad-Reantaso</w:t>
      </w:r>
      <w:proofErr w:type="spellEnd"/>
      <w:r>
        <w:rPr>
          <w:rFonts w:cs="Times New Roman"/>
          <w:szCs w:val="24"/>
        </w:rPr>
        <w:t xml:space="preserve"> et al. 2005). With restrictions on the use or total ban of using dietary antibiotics, there should be a need to explore novel ways of improving and protecting the health status of farmed animals, enhancing their growth performance, and increasing bioavailability of nutrients. This can be attained by provision of optimum conditions when rearing the animals, as well as combining the best </w:t>
      </w:r>
      <w:proofErr w:type="spellStart"/>
      <w:r>
        <w:rPr>
          <w:rFonts w:cs="Times New Roman"/>
          <w:szCs w:val="24"/>
        </w:rPr>
        <w:t>pronutrients</w:t>
      </w:r>
      <w:proofErr w:type="spellEnd"/>
      <w:r>
        <w:rPr>
          <w:rFonts w:cs="Times New Roman"/>
          <w:szCs w:val="24"/>
        </w:rPr>
        <w:t xml:space="preserve"> that are supplemented in the feeds of the animals (Rosen 1996). In addition, the demand for the global production of food that is safe to consumers and does not have issues on public health has triggered the search for alternative natural growth promoters or additives that can be incorporated in the manufacture of feeds for </w:t>
      </w:r>
      <w:r>
        <w:rPr>
          <w:rFonts w:cs="Times New Roman"/>
          <w:szCs w:val="24"/>
        </w:rPr>
        <w:lastRenderedPageBreak/>
        <w:t xml:space="preserve">aquatic animals. Increased research undertakings towards the development of novel dietary supplements and new feeding strategies are now being implemented that can promote optimum health and good growth in fish. A diverse array of feed enzymes, probiotics, prebiotics, organic acids, and </w:t>
      </w:r>
      <w:proofErr w:type="spellStart"/>
      <w:r>
        <w:rPr>
          <w:rFonts w:cs="Times New Roman"/>
          <w:szCs w:val="24"/>
        </w:rPr>
        <w:t>phytogenics</w:t>
      </w:r>
      <w:proofErr w:type="spellEnd"/>
      <w:r>
        <w:rPr>
          <w:rFonts w:cs="Times New Roman"/>
          <w:szCs w:val="24"/>
        </w:rPr>
        <w:t xml:space="preserve"> are used as feed additives for aquaculture and their effects have been assessed in some laboratory studies (</w:t>
      </w:r>
      <w:proofErr w:type="spellStart"/>
      <w:r>
        <w:rPr>
          <w:rFonts w:cs="Times New Roman"/>
          <w:szCs w:val="24"/>
        </w:rPr>
        <w:t>Sethiya</w:t>
      </w:r>
      <w:proofErr w:type="spellEnd"/>
      <w:r>
        <w:rPr>
          <w:rFonts w:cs="Times New Roman"/>
          <w:szCs w:val="24"/>
        </w:rPr>
        <w:t xml:space="preserve"> 2016). Among these feed supplements, various </w:t>
      </w:r>
      <w:proofErr w:type="spellStart"/>
      <w:r>
        <w:rPr>
          <w:rFonts w:cs="Times New Roman"/>
          <w:szCs w:val="24"/>
        </w:rPr>
        <w:t>phytogenics</w:t>
      </w:r>
      <w:proofErr w:type="spellEnd"/>
      <w:r>
        <w:rPr>
          <w:rFonts w:cs="Times New Roman"/>
          <w:szCs w:val="24"/>
        </w:rPr>
        <w:t xml:space="preserve"> that are used as additives for the animal feed industry have gained considerable attention in recent years (</w:t>
      </w:r>
      <w:proofErr w:type="spellStart"/>
      <w:r>
        <w:rPr>
          <w:rFonts w:cs="Times New Roman"/>
          <w:szCs w:val="24"/>
        </w:rPr>
        <w:t>Windisch</w:t>
      </w:r>
      <w:proofErr w:type="spellEnd"/>
      <w:r>
        <w:rPr>
          <w:rFonts w:cs="Times New Roman"/>
          <w:szCs w:val="24"/>
        </w:rPr>
        <w:t xml:space="preserve"> et al. 2008; </w:t>
      </w:r>
      <w:proofErr w:type="spellStart"/>
      <w:r>
        <w:rPr>
          <w:rFonts w:cs="Times New Roman"/>
          <w:szCs w:val="24"/>
        </w:rPr>
        <w:t>Upadhaya</w:t>
      </w:r>
      <w:proofErr w:type="spellEnd"/>
      <w:r>
        <w:rPr>
          <w:rFonts w:cs="Times New Roman"/>
          <w:szCs w:val="24"/>
        </w:rPr>
        <w:t xml:space="preserve"> and Kim 2017). Unlike synthetic antibiotics, these additives are free from residues and are generally considered as safe to be incorporated as ingredients in the food industry, as well as in animal diets (</w:t>
      </w:r>
      <w:proofErr w:type="spellStart"/>
      <w:r>
        <w:rPr>
          <w:rFonts w:cs="Times New Roman"/>
          <w:szCs w:val="24"/>
        </w:rPr>
        <w:t>Hashemi</w:t>
      </w:r>
      <w:proofErr w:type="spellEnd"/>
      <w:r>
        <w:rPr>
          <w:rFonts w:cs="Times New Roman"/>
          <w:szCs w:val="24"/>
        </w:rPr>
        <w:t xml:space="preserve"> et al. 2008; Li et al. 2016).</w:t>
      </w:r>
    </w:p>
    <w:p w:rsidR="00CC65F4" w:rsidRDefault="009F6756">
      <w:pPr>
        <w:spacing w:after="0"/>
        <w:rPr>
          <w:rFonts w:cs="Times New Roman"/>
          <w:szCs w:val="24"/>
        </w:rPr>
      </w:pPr>
      <w:r>
        <w:rPr>
          <w:rFonts w:cs="Times New Roman"/>
          <w:szCs w:val="24"/>
        </w:rPr>
        <w:tab/>
        <w:t xml:space="preserve">This review presents and evaluates existing knowledge on the use of </w:t>
      </w:r>
      <w:proofErr w:type="spellStart"/>
      <w:r>
        <w:rPr>
          <w:rFonts w:cs="Times New Roman"/>
          <w:szCs w:val="24"/>
        </w:rPr>
        <w:t>phytogenics</w:t>
      </w:r>
      <w:proofErr w:type="spellEnd"/>
      <w:r>
        <w:rPr>
          <w:rFonts w:cs="Times New Roman"/>
          <w:szCs w:val="24"/>
        </w:rPr>
        <w:t xml:space="preserve"> and their biological actions in relation to mucosal health in fish that are being utilized in aquaculture. While most of the previous studies on plant-based materials concentrated on developing alternative feed ingredients and their effects on growth and immunity in fish, this present review focused on the beneficial effects of these </w:t>
      </w:r>
      <w:proofErr w:type="spellStart"/>
      <w:r>
        <w:rPr>
          <w:rFonts w:cs="Times New Roman"/>
          <w:szCs w:val="24"/>
        </w:rPr>
        <w:t>phytogenics</w:t>
      </w:r>
      <w:proofErr w:type="spellEnd"/>
      <w:r>
        <w:rPr>
          <w:rFonts w:cs="Times New Roman"/>
          <w:szCs w:val="24"/>
        </w:rPr>
        <w:t xml:space="preserve"> as feed additives on gut health and the microbial community in the gastrointestinal tract of the fish, the two areas that are relatively new in the study of fish nutritional immunology. Future perspectives on the expansion of this commodity as a feed additive in aquaculture are also discussed in this paper.</w:t>
      </w:r>
    </w:p>
    <w:p w:rsidR="00CC65F4" w:rsidRDefault="009F6756">
      <w:pPr>
        <w:spacing w:after="0"/>
        <w:rPr>
          <w:rFonts w:cs="Times New Roman"/>
          <w:b/>
          <w:szCs w:val="24"/>
        </w:rPr>
      </w:pPr>
      <w:r>
        <w:rPr>
          <w:rFonts w:cs="Times New Roman"/>
          <w:b/>
          <w:szCs w:val="24"/>
        </w:rPr>
        <w:t xml:space="preserve">2.  Classification of </w:t>
      </w:r>
      <w:proofErr w:type="spellStart"/>
      <w:r>
        <w:rPr>
          <w:rFonts w:cs="Times New Roman"/>
          <w:b/>
          <w:szCs w:val="24"/>
        </w:rPr>
        <w:t>phytogenics</w:t>
      </w:r>
      <w:proofErr w:type="spellEnd"/>
    </w:p>
    <w:p w:rsidR="00CC65F4" w:rsidRDefault="009F6756">
      <w:pPr>
        <w:spacing w:after="0"/>
        <w:rPr>
          <w:rFonts w:cs="Times New Roman"/>
          <w:szCs w:val="24"/>
        </w:rPr>
      </w:pPr>
      <w:r>
        <w:rPr>
          <w:rFonts w:cs="Times New Roman"/>
          <w:szCs w:val="24"/>
        </w:rPr>
        <w:tab/>
        <w:t>Plants contain a diverse range of low-molecular weight secondary metabolites, and these compounds serve several functions: they enable the plants to interact with the environment and to act as a defense against physiological and environmental stressors, predators, and pathogens (</w:t>
      </w:r>
      <w:proofErr w:type="spellStart"/>
      <w:r>
        <w:rPr>
          <w:rFonts w:cs="Times New Roman"/>
          <w:szCs w:val="24"/>
        </w:rPr>
        <w:t>Sethiya</w:t>
      </w:r>
      <w:proofErr w:type="spellEnd"/>
      <w:r>
        <w:rPr>
          <w:rFonts w:cs="Times New Roman"/>
          <w:szCs w:val="24"/>
        </w:rPr>
        <w:t xml:space="preserve"> 2016). While some of these metabolites possess toxic substances, most of these secondary metabolites have been reported to demonstrate beneficial effects in animal metabolism when used as feed additives. In recent years, the feed industry for </w:t>
      </w:r>
      <w:r>
        <w:rPr>
          <w:rFonts w:cs="Times New Roman"/>
          <w:szCs w:val="24"/>
        </w:rPr>
        <w:lastRenderedPageBreak/>
        <w:t>both terrestrial and aquatic animals has been aware that various plant extracts are able to play significant roles in the nutrition and health of the animals (</w:t>
      </w:r>
      <w:proofErr w:type="spellStart"/>
      <w:r>
        <w:rPr>
          <w:rFonts w:cs="Times New Roman"/>
          <w:szCs w:val="24"/>
        </w:rPr>
        <w:t>Sethiya</w:t>
      </w:r>
      <w:proofErr w:type="spellEnd"/>
      <w:r>
        <w:rPr>
          <w:rFonts w:cs="Times New Roman"/>
          <w:szCs w:val="24"/>
        </w:rPr>
        <w:t xml:space="preserve"> 2016). As a result, there are many plants that have been tested and were found to exhibit beneficial effects on farmed animals when used as feed additives (</w:t>
      </w:r>
      <w:proofErr w:type="spellStart"/>
      <w:r>
        <w:rPr>
          <w:rFonts w:cs="Times New Roman"/>
          <w:szCs w:val="24"/>
        </w:rPr>
        <w:t>Huyghebaert</w:t>
      </w:r>
      <w:proofErr w:type="spellEnd"/>
      <w:r>
        <w:rPr>
          <w:rFonts w:cs="Times New Roman"/>
          <w:szCs w:val="24"/>
        </w:rPr>
        <w:t xml:space="preserve"> et al. 2011). In addition, most of these plant-derived substances are regarded as safe for animals, the consumers, and the environment (Liu et al. </w:t>
      </w:r>
      <w:proofErr w:type="gramStart"/>
      <w:r>
        <w:rPr>
          <w:rFonts w:cs="Times New Roman"/>
          <w:szCs w:val="24"/>
        </w:rPr>
        <w:t xml:space="preserve">2011;  </w:t>
      </w:r>
      <w:proofErr w:type="spellStart"/>
      <w:r>
        <w:rPr>
          <w:rFonts w:cs="Times New Roman"/>
          <w:szCs w:val="24"/>
        </w:rPr>
        <w:t>Pavela</w:t>
      </w:r>
      <w:proofErr w:type="spellEnd"/>
      <w:proofErr w:type="gramEnd"/>
      <w:r>
        <w:rPr>
          <w:rFonts w:cs="Times New Roman"/>
          <w:szCs w:val="24"/>
        </w:rPr>
        <w:t xml:space="preserve"> 2015).</w:t>
      </w:r>
    </w:p>
    <w:p w:rsidR="00CC65F4" w:rsidRDefault="009F6756">
      <w:pPr>
        <w:spacing w:after="0"/>
        <w:ind w:firstLine="720"/>
        <w:rPr>
          <w:rFonts w:cs="Times New Roman"/>
          <w:szCs w:val="24"/>
        </w:rPr>
      </w:pPr>
      <w:proofErr w:type="spellStart"/>
      <w:r>
        <w:rPr>
          <w:rFonts w:cs="Times New Roman"/>
          <w:szCs w:val="24"/>
        </w:rPr>
        <w:t>Phytogenics</w:t>
      </w:r>
      <w:proofErr w:type="spellEnd"/>
      <w:r>
        <w:rPr>
          <w:rFonts w:cs="Times New Roman"/>
          <w:szCs w:val="24"/>
        </w:rPr>
        <w:t xml:space="preserve"> are plant-derived, natural compounds that are incorporated in the diets, which can enhance animal productivity. Plant-derived products have been reported to possess beneficial properties including: anti-stress, appetite stimulation, growth promotion, </w:t>
      </w:r>
      <w:proofErr w:type="spellStart"/>
      <w:r>
        <w:rPr>
          <w:rFonts w:cs="Times New Roman"/>
          <w:szCs w:val="24"/>
        </w:rPr>
        <w:t>immunostimulation</w:t>
      </w:r>
      <w:proofErr w:type="spellEnd"/>
      <w:r>
        <w:rPr>
          <w:rFonts w:cs="Times New Roman"/>
          <w:szCs w:val="24"/>
        </w:rPr>
        <w:t xml:space="preserve">, and anti-pathogenic properties in fish and shrimp aquaculture due to the presence of several bioactive substances such as alkaloids, flavonoids, glycosides, </w:t>
      </w:r>
      <w:proofErr w:type="spellStart"/>
      <w:r>
        <w:rPr>
          <w:rFonts w:cs="Times New Roman"/>
          <w:szCs w:val="24"/>
        </w:rPr>
        <w:t>phenolics</w:t>
      </w:r>
      <w:proofErr w:type="spellEnd"/>
      <w:r>
        <w:rPr>
          <w:rFonts w:cs="Times New Roman"/>
          <w:szCs w:val="24"/>
        </w:rPr>
        <w:t xml:space="preserve">, </w:t>
      </w:r>
      <w:proofErr w:type="spellStart"/>
      <w:r>
        <w:rPr>
          <w:rFonts w:cs="Times New Roman"/>
          <w:szCs w:val="24"/>
        </w:rPr>
        <w:t>saponins</w:t>
      </w:r>
      <w:proofErr w:type="spellEnd"/>
      <w:r>
        <w:rPr>
          <w:rFonts w:cs="Times New Roman"/>
          <w:szCs w:val="24"/>
        </w:rPr>
        <w:t xml:space="preserve">, tannins, </w:t>
      </w:r>
      <w:proofErr w:type="spellStart"/>
      <w:r>
        <w:rPr>
          <w:rFonts w:cs="Times New Roman"/>
          <w:szCs w:val="24"/>
        </w:rPr>
        <w:t>terpenoids</w:t>
      </w:r>
      <w:proofErr w:type="spellEnd"/>
      <w:r>
        <w:rPr>
          <w:rFonts w:cs="Times New Roman"/>
          <w:szCs w:val="24"/>
        </w:rPr>
        <w:t>, steroids, and essential oils (</w:t>
      </w:r>
      <w:proofErr w:type="spellStart"/>
      <w:r>
        <w:rPr>
          <w:rFonts w:cs="Times New Roman"/>
          <w:szCs w:val="24"/>
        </w:rPr>
        <w:t>Citarasu</w:t>
      </w:r>
      <w:proofErr w:type="spellEnd"/>
      <w:r>
        <w:rPr>
          <w:rFonts w:cs="Times New Roman"/>
          <w:szCs w:val="24"/>
        </w:rPr>
        <w:t xml:space="preserve"> 2010; Chakraborty and </w:t>
      </w:r>
      <w:proofErr w:type="spellStart"/>
      <w:r>
        <w:rPr>
          <w:rFonts w:cs="Times New Roman"/>
          <w:szCs w:val="24"/>
        </w:rPr>
        <w:t>Hancz</w:t>
      </w:r>
      <w:proofErr w:type="spellEnd"/>
      <w:r>
        <w:rPr>
          <w:rFonts w:cs="Times New Roman"/>
          <w:szCs w:val="24"/>
        </w:rPr>
        <w:t xml:space="preserve"> 2011; </w:t>
      </w:r>
      <w:proofErr w:type="spellStart"/>
      <w:r>
        <w:rPr>
          <w:rFonts w:cs="Times New Roman"/>
          <w:szCs w:val="24"/>
        </w:rPr>
        <w:t>Reverter</w:t>
      </w:r>
      <w:proofErr w:type="spellEnd"/>
      <w:r>
        <w:rPr>
          <w:rFonts w:cs="Times New Roman"/>
          <w:szCs w:val="24"/>
        </w:rPr>
        <w:t xml:space="preserve"> et al. 2014; Hashimoto et al. 2016). Moreover, their use are believed to reduce the costs in the treatment of diseases and are perceived to be more environment-friendly than synthetic substances because they are biodegradable and are less likely to produce drug resistance in pathogens due to the high diversity of these plant extracts (Blumenthal et al. 2000; </w:t>
      </w:r>
      <w:proofErr w:type="spellStart"/>
      <w:r>
        <w:rPr>
          <w:rFonts w:cs="Times New Roman"/>
          <w:szCs w:val="24"/>
        </w:rPr>
        <w:t>Logambal</w:t>
      </w:r>
      <w:proofErr w:type="spellEnd"/>
      <w:r>
        <w:rPr>
          <w:rFonts w:cs="Times New Roman"/>
          <w:szCs w:val="24"/>
        </w:rPr>
        <w:t xml:space="preserve"> et al. 2000; </w:t>
      </w:r>
      <w:proofErr w:type="spellStart"/>
      <w:r>
        <w:rPr>
          <w:rFonts w:cs="Times New Roman"/>
          <w:szCs w:val="24"/>
        </w:rPr>
        <w:t>Olusola</w:t>
      </w:r>
      <w:proofErr w:type="spellEnd"/>
      <w:r>
        <w:rPr>
          <w:rFonts w:cs="Times New Roman"/>
          <w:szCs w:val="24"/>
        </w:rPr>
        <w:t xml:space="preserve"> et al. 2013). Because of the many benefits of these plant-derived products, they have been used in food preservation, pharmaceuticals, alternative medicine, and natural therapies for many years (Jones 1996; Lis-</w:t>
      </w:r>
      <w:proofErr w:type="spellStart"/>
      <w:r>
        <w:rPr>
          <w:rFonts w:cs="Times New Roman"/>
          <w:szCs w:val="24"/>
        </w:rPr>
        <w:t>Balchin</w:t>
      </w:r>
      <w:proofErr w:type="spellEnd"/>
      <w:r>
        <w:rPr>
          <w:rFonts w:cs="Times New Roman"/>
          <w:szCs w:val="24"/>
        </w:rPr>
        <w:t xml:space="preserve"> and Deans 1997). Various herbs possess potent antimicrobial and antiviral properties (Smith-Palmer et al. 1998; Hammer et al. 1999) and are reported to stimulate the immune system (Chang et al. 1995; Barak et al. 2001). These plant products can be categorized on the basis of their physical characteristics and appearance. For example, essential oils, crude or processed parts of the plant as well as mixtures of plant powders or extracts are used in preventing and treating various infectious diseases of both terrestrial and aquatic animals (</w:t>
      </w:r>
      <w:proofErr w:type="spellStart"/>
      <w:r>
        <w:rPr>
          <w:rFonts w:cs="Times New Roman"/>
          <w:szCs w:val="24"/>
        </w:rPr>
        <w:t>Sethiya</w:t>
      </w:r>
      <w:proofErr w:type="spellEnd"/>
      <w:r>
        <w:rPr>
          <w:rFonts w:cs="Times New Roman"/>
          <w:szCs w:val="24"/>
        </w:rPr>
        <w:t xml:space="preserve"> et al. 2013; </w:t>
      </w:r>
      <w:proofErr w:type="spellStart"/>
      <w:r>
        <w:rPr>
          <w:rFonts w:cs="Times New Roman"/>
          <w:szCs w:val="24"/>
        </w:rPr>
        <w:t>Dhama</w:t>
      </w:r>
      <w:proofErr w:type="spellEnd"/>
      <w:r>
        <w:rPr>
          <w:rFonts w:cs="Times New Roman"/>
          <w:szCs w:val="24"/>
        </w:rPr>
        <w:t xml:space="preserve"> et al. 2015). In addition, they </w:t>
      </w:r>
      <w:r>
        <w:rPr>
          <w:rFonts w:cs="Times New Roman"/>
          <w:szCs w:val="24"/>
        </w:rPr>
        <w:lastRenderedPageBreak/>
        <w:t>can also be classified on the basis of their growth habits (</w:t>
      </w:r>
      <w:proofErr w:type="spellStart"/>
      <w:r>
        <w:rPr>
          <w:rFonts w:cs="Times New Roman"/>
          <w:szCs w:val="24"/>
        </w:rPr>
        <w:t>Asimi</w:t>
      </w:r>
      <w:proofErr w:type="spellEnd"/>
      <w:r>
        <w:rPr>
          <w:rFonts w:cs="Times New Roman"/>
          <w:szCs w:val="24"/>
        </w:rPr>
        <w:t xml:space="preserve"> and </w:t>
      </w:r>
      <w:proofErr w:type="spellStart"/>
      <w:r>
        <w:rPr>
          <w:rFonts w:cs="Times New Roman"/>
          <w:szCs w:val="24"/>
        </w:rPr>
        <w:t>Sahu</w:t>
      </w:r>
      <w:proofErr w:type="spellEnd"/>
      <w:r>
        <w:rPr>
          <w:rFonts w:cs="Times New Roman"/>
          <w:szCs w:val="24"/>
        </w:rPr>
        <w:t xml:space="preserve"> 2013), and can be categorized either as a tree, shrub or </w:t>
      </w:r>
      <w:proofErr w:type="gramStart"/>
      <w:r>
        <w:rPr>
          <w:rFonts w:cs="Times New Roman"/>
          <w:szCs w:val="24"/>
        </w:rPr>
        <w:t>a</w:t>
      </w:r>
      <w:proofErr w:type="gramEnd"/>
      <w:r>
        <w:rPr>
          <w:rFonts w:cs="Times New Roman"/>
          <w:szCs w:val="24"/>
        </w:rPr>
        <w:t xml:space="preserve"> herb. The differences among them are the following: a tree stands on the stem; a shrub has multiple stems that form a bush. On the other hand, </w:t>
      </w:r>
      <w:proofErr w:type="gramStart"/>
      <w:r>
        <w:rPr>
          <w:rFonts w:cs="Times New Roman"/>
          <w:szCs w:val="24"/>
        </w:rPr>
        <w:t>a</w:t>
      </w:r>
      <w:proofErr w:type="gramEnd"/>
      <w:r>
        <w:rPr>
          <w:rFonts w:cs="Times New Roman"/>
          <w:szCs w:val="24"/>
        </w:rPr>
        <w:t xml:space="preserve"> herb does not have a firm stem but a flexible fleshy structure, which does not have the woody hard part as what is found in a tree or a shrub. In the last few years, the feed industry has recognized the vast potential of these plant-derived substances either as feed ingredients or feed additives for farmed animals. As a result, the following phytogenic substances are commonly utilized as feed additives: herbs, spices, essential oils, and non-volatile extracts (Steiner and Syed 2015).  Botanicals or herbal extracts as well as essential oils (EO) are within the scope of European legislation; thus, they are categorized as ‘sensory additives’ (Steiner and Syed 2015). On the other hand, unprocessed herbs are still considered as feed materials; hence, they do not need any authorization prior to be used in the preparation of feeds (</w:t>
      </w:r>
      <w:proofErr w:type="spellStart"/>
      <w:r>
        <w:rPr>
          <w:rFonts w:cs="Times New Roman"/>
          <w:szCs w:val="24"/>
        </w:rPr>
        <w:t>Huyghebaert</w:t>
      </w:r>
      <w:proofErr w:type="spellEnd"/>
      <w:r>
        <w:rPr>
          <w:rFonts w:cs="Times New Roman"/>
          <w:szCs w:val="24"/>
        </w:rPr>
        <w:t xml:space="preserve"> et al. 2011).  </w:t>
      </w:r>
    </w:p>
    <w:p w:rsidR="00CC65F4" w:rsidRDefault="009F6756" w:rsidP="00945347">
      <w:pPr>
        <w:spacing w:after="0"/>
        <w:ind w:firstLine="720"/>
        <w:rPr>
          <w:rFonts w:cs="Times New Roman"/>
          <w:szCs w:val="24"/>
        </w:rPr>
      </w:pPr>
      <w:r>
        <w:rPr>
          <w:rFonts w:cs="Times New Roman"/>
          <w:szCs w:val="24"/>
        </w:rPr>
        <w:t xml:space="preserve">Some of the commonly used plants as sources of </w:t>
      </w:r>
      <w:proofErr w:type="spellStart"/>
      <w:r>
        <w:rPr>
          <w:rFonts w:cs="Times New Roman"/>
          <w:szCs w:val="24"/>
        </w:rPr>
        <w:t>phytogenics</w:t>
      </w:r>
      <w:proofErr w:type="spellEnd"/>
      <w:r>
        <w:rPr>
          <w:rFonts w:cs="Times New Roman"/>
          <w:szCs w:val="24"/>
        </w:rPr>
        <w:t xml:space="preserve"> and are used as feed additives for the production of livestock and fish are listed in </w:t>
      </w:r>
      <w:r>
        <w:rPr>
          <w:rFonts w:cs="Times New Roman"/>
          <w:bCs/>
          <w:szCs w:val="24"/>
        </w:rPr>
        <w:t>Table 1.</w:t>
      </w:r>
      <w:r>
        <w:rPr>
          <w:rFonts w:cs="Times New Roman"/>
          <w:szCs w:val="24"/>
        </w:rPr>
        <w:t xml:space="preserve"> The inclusion of these plants and their effects in the gut and in the digestive process are highlighted. </w:t>
      </w:r>
    </w:p>
    <w:p w:rsidR="00CC65F4" w:rsidRDefault="009F6756">
      <w:pPr>
        <w:spacing w:after="0"/>
        <w:rPr>
          <w:rFonts w:cs="Times New Roman"/>
          <w:b/>
          <w:szCs w:val="24"/>
        </w:rPr>
      </w:pPr>
      <w:r>
        <w:rPr>
          <w:rFonts w:cs="Times New Roman"/>
          <w:b/>
          <w:szCs w:val="24"/>
        </w:rPr>
        <w:t xml:space="preserve">3.  Effects on fish gut health </w:t>
      </w:r>
    </w:p>
    <w:p w:rsidR="00CC65F4" w:rsidRDefault="009F6756">
      <w:pPr>
        <w:spacing w:after="0"/>
        <w:ind w:firstLine="720"/>
        <w:rPr>
          <w:rFonts w:cs="Times New Roman"/>
          <w:szCs w:val="24"/>
        </w:rPr>
      </w:pPr>
      <w:r>
        <w:rPr>
          <w:rFonts w:cs="Times New Roman"/>
          <w:szCs w:val="24"/>
        </w:rPr>
        <w:t xml:space="preserve">The term ‘gut health’ is currently gaining much attention in the animal production industry and this encompasses all the mechanisms and processes that take place in the gut (Cummings et al. 2004; </w:t>
      </w:r>
      <w:proofErr w:type="spellStart"/>
      <w:r>
        <w:rPr>
          <w:rFonts w:cs="Times New Roman"/>
          <w:szCs w:val="24"/>
        </w:rPr>
        <w:t>Laudadio</w:t>
      </w:r>
      <w:proofErr w:type="spellEnd"/>
      <w:r>
        <w:rPr>
          <w:rFonts w:cs="Times New Roman"/>
          <w:szCs w:val="24"/>
        </w:rPr>
        <w:t xml:space="preserve"> et al. 2012). The term is usually confined to the gastro-intestinal (GI) tract of the host and does not involve other organs (Bischoff 2011). The gut is the primary site for a number of important functions including, digestion, fermentation, nutrient absorption and metabolism, intestinal integrity, and immune regulation (</w:t>
      </w:r>
      <w:proofErr w:type="spellStart"/>
      <w:r>
        <w:rPr>
          <w:rFonts w:cs="Times New Roman"/>
          <w:szCs w:val="24"/>
        </w:rPr>
        <w:t>Sommer</w:t>
      </w:r>
      <w:proofErr w:type="spellEnd"/>
      <w:r>
        <w:rPr>
          <w:rFonts w:cs="Times New Roman"/>
          <w:szCs w:val="24"/>
        </w:rPr>
        <w:t xml:space="preserve"> and </w:t>
      </w:r>
      <w:proofErr w:type="spellStart"/>
      <w:r>
        <w:rPr>
          <w:rFonts w:cs="Times New Roman"/>
          <w:szCs w:val="24"/>
        </w:rPr>
        <w:t>Backhed</w:t>
      </w:r>
      <w:proofErr w:type="spellEnd"/>
      <w:r>
        <w:rPr>
          <w:rFonts w:cs="Times New Roman"/>
          <w:szCs w:val="24"/>
        </w:rPr>
        <w:t xml:space="preserve"> 2013). It is mainly composed of physical, chemical, immunological, and microbiological components, thereby acting as a selective barrier between the host and its immediate environment (</w:t>
      </w:r>
      <w:proofErr w:type="spellStart"/>
      <w:r>
        <w:rPr>
          <w:rFonts w:cs="Times New Roman"/>
          <w:szCs w:val="24"/>
        </w:rPr>
        <w:t>Yegani</w:t>
      </w:r>
      <w:proofErr w:type="spellEnd"/>
      <w:r>
        <w:rPr>
          <w:rFonts w:cs="Times New Roman"/>
          <w:szCs w:val="24"/>
        </w:rPr>
        <w:t xml:space="preserve"> and </w:t>
      </w:r>
      <w:proofErr w:type="spellStart"/>
      <w:r>
        <w:rPr>
          <w:rFonts w:cs="Times New Roman"/>
          <w:szCs w:val="24"/>
        </w:rPr>
        <w:t>Korver</w:t>
      </w:r>
      <w:proofErr w:type="spellEnd"/>
      <w:r>
        <w:rPr>
          <w:rFonts w:cs="Times New Roman"/>
          <w:szCs w:val="24"/>
        </w:rPr>
        <w:t xml:space="preserve"> 2008). It is reported that when the gut is exposed to harmful </w:t>
      </w:r>
      <w:r>
        <w:rPr>
          <w:rFonts w:cs="Times New Roman"/>
          <w:szCs w:val="24"/>
        </w:rPr>
        <w:lastRenderedPageBreak/>
        <w:t xml:space="preserve">and infectious agents or pathogens, this causes an imbalance in the host that will result in sudden changes in the feeding activity, intestinal disorders, and suppression of the immune responses that can lead to a decrease in animal productivity (McDevitt et al. 2006).   </w:t>
      </w:r>
    </w:p>
    <w:p w:rsidR="00CC65F4" w:rsidRDefault="009F6756">
      <w:pPr>
        <w:spacing w:after="0"/>
        <w:ind w:firstLine="720"/>
        <w:rPr>
          <w:rFonts w:cs="Times New Roman"/>
          <w:szCs w:val="24"/>
        </w:rPr>
      </w:pPr>
      <w:r>
        <w:rPr>
          <w:rFonts w:cs="Times New Roman"/>
          <w:szCs w:val="24"/>
        </w:rPr>
        <w:t xml:space="preserve">There have been increasing scientific evidence that enable us to understand the effects of </w:t>
      </w:r>
      <w:proofErr w:type="spellStart"/>
      <w:r>
        <w:rPr>
          <w:rFonts w:cs="Times New Roman"/>
          <w:szCs w:val="24"/>
        </w:rPr>
        <w:t>phytogenics</w:t>
      </w:r>
      <w:proofErr w:type="spellEnd"/>
      <w:r>
        <w:rPr>
          <w:rFonts w:cs="Times New Roman"/>
          <w:szCs w:val="24"/>
        </w:rPr>
        <w:t xml:space="preserve"> based on studies that were conducted in </w:t>
      </w:r>
      <w:proofErr w:type="spellStart"/>
      <w:r>
        <w:rPr>
          <w:rFonts w:cs="Times New Roman"/>
          <w:szCs w:val="24"/>
        </w:rPr>
        <w:t>monogastric</w:t>
      </w:r>
      <w:proofErr w:type="spellEnd"/>
      <w:r>
        <w:rPr>
          <w:rFonts w:cs="Times New Roman"/>
          <w:szCs w:val="24"/>
        </w:rPr>
        <w:t xml:space="preserve"> animals (Steiner and Syed 2015). The possible effects of these plant-based additives to gut health and microbial community of the host are summarized in </w:t>
      </w:r>
      <w:r>
        <w:rPr>
          <w:rFonts w:cs="Times New Roman"/>
          <w:bCs/>
          <w:szCs w:val="24"/>
        </w:rPr>
        <w:t>Figure 1</w:t>
      </w:r>
      <w:r>
        <w:rPr>
          <w:rFonts w:cs="Times New Roman"/>
          <w:szCs w:val="24"/>
        </w:rPr>
        <w:t xml:space="preserve"> and may also be observed in aquatic animals. Humphrey and </w:t>
      </w:r>
      <w:proofErr w:type="spellStart"/>
      <w:r>
        <w:rPr>
          <w:rFonts w:cs="Times New Roman"/>
          <w:szCs w:val="24"/>
        </w:rPr>
        <w:t>Klasing</w:t>
      </w:r>
      <w:proofErr w:type="spellEnd"/>
      <w:r>
        <w:rPr>
          <w:rFonts w:cs="Times New Roman"/>
          <w:szCs w:val="24"/>
        </w:rPr>
        <w:t xml:space="preserve"> (2003) stressed that the effects of </w:t>
      </w:r>
      <w:proofErr w:type="spellStart"/>
      <w:r>
        <w:rPr>
          <w:rFonts w:cs="Times New Roman"/>
          <w:szCs w:val="24"/>
        </w:rPr>
        <w:t>phytogenics</w:t>
      </w:r>
      <w:proofErr w:type="spellEnd"/>
      <w:r>
        <w:rPr>
          <w:rFonts w:cs="Times New Roman"/>
          <w:szCs w:val="24"/>
        </w:rPr>
        <w:t xml:space="preserve"> on gut health can be any of the following: (a) antimicrobial action, (b) reduction of the incidence and severity of infections, (c) reduction on the microbial use of nutrients, (d) improvement in absorption of nutrients, (e)  reduction in the production of growth-depressing metabolites, (f) modulation of gut microbiota, and (g) inhibition in the production of pro-inflammatory cytokines by immune cells in the gut. An increase in the digestibility is considered to be the major effect of </w:t>
      </w:r>
      <w:proofErr w:type="spellStart"/>
      <w:r>
        <w:rPr>
          <w:rFonts w:cs="Times New Roman"/>
          <w:szCs w:val="24"/>
        </w:rPr>
        <w:t>phytogenics</w:t>
      </w:r>
      <w:proofErr w:type="spellEnd"/>
      <w:r>
        <w:rPr>
          <w:rFonts w:cs="Times New Roman"/>
          <w:szCs w:val="24"/>
        </w:rPr>
        <w:t xml:space="preserve"> in farmed animals, as these substances aided in the improvement of feed conversion. The different biological parameters that are affected by these phytogenic feed additives include: increased secretions of digestive enzymes, modulation of the immune responses, changes in the villi morphology, and enhanced utilization of nutrients (Steiner and Syed 2015). All these parameters eventually result in a better growth performance of the animals. The above-mentioned biological parameters are not to be treated independently, rather they must be seen as interrelated with one another. Steiner and Syed (2015) postulated that the positive effects of these </w:t>
      </w:r>
      <w:proofErr w:type="spellStart"/>
      <w:r>
        <w:rPr>
          <w:rFonts w:cs="Times New Roman"/>
          <w:szCs w:val="24"/>
        </w:rPr>
        <w:t>phytogenics</w:t>
      </w:r>
      <w:proofErr w:type="spellEnd"/>
      <w:r>
        <w:rPr>
          <w:rFonts w:cs="Times New Roman"/>
          <w:szCs w:val="24"/>
        </w:rPr>
        <w:t xml:space="preserve"> on the morphology of the tissues and villi of the small intestines favored in the increased digestibility of nutrients. Furthermore, a more stable intestinal microbiota could be responsible in the reduction of microbial metabolite levels in the digestive tract; thus, putting less metabolic burden to the immune system and increasing available energy for growth.   </w:t>
      </w:r>
    </w:p>
    <w:p w:rsidR="00CC65F4" w:rsidRDefault="009F6756">
      <w:pPr>
        <w:spacing w:after="0"/>
        <w:ind w:firstLine="720"/>
        <w:rPr>
          <w:rFonts w:cs="Times New Roman"/>
          <w:szCs w:val="24"/>
        </w:rPr>
      </w:pPr>
      <w:r>
        <w:rPr>
          <w:rFonts w:cs="Times New Roman"/>
          <w:szCs w:val="24"/>
        </w:rPr>
        <w:lastRenderedPageBreak/>
        <w:t xml:space="preserve">It has been reported that herbs, spices, and their extracts can stimulate appetite and digestive enzymes in </w:t>
      </w:r>
      <w:proofErr w:type="spellStart"/>
      <w:r>
        <w:rPr>
          <w:rFonts w:cs="Times New Roman"/>
          <w:szCs w:val="24"/>
        </w:rPr>
        <w:t>monogastric</w:t>
      </w:r>
      <w:proofErr w:type="spellEnd"/>
      <w:r>
        <w:rPr>
          <w:rFonts w:cs="Times New Roman"/>
          <w:szCs w:val="24"/>
        </w:rPr>
        <w:t xml:space="preserve"> animals (</w:t>
      </w:r>
      <w:proofErr w:type="spellStart"/>
      <w:r>
        <w:rPr>
          <w:rFonts w:cs="Times New Roman"/>
          <w:szCs w:val="24"/>
        </w:rPr>
        <w:t>Wenk</w:t>
      </w:r>
      <w:proofErr w:type="spellEnd"/>
      <w:r>
        <w:rPr>
          <w:rFonts w:cs="Times New Roman"/>
          <w:szCs w:val="24"/>
        </w:rPr>
        <w:t xml:space="preserve"> 2003; Liu et al. 2011). The stimulation of digestive secretions and mucus, as well as the enhancement of digestive enzyme activities, are believed to be the major modes of nutritional action of these </w:t>
      </w:r>
      <w:proofErr w:type="spellStart"/>
      <w:r>
        <w:rPr>
          <w:rFonts w:cs="Times New Roman"/>
          <w:szCs w:val="24"/>
        </w:rPr>
        <w:t>phytogenics</w:t>
      </w:r>
      <w:proofErr w:type="spellEnd"/>
      <w:r>
        <w:rPr>
          <w:rFonts w:cs="Times New Roman"/>
          <w:szCs w:val="24"/>
        </w:rPr>
        <w:t xml:space="preserve"> in </w:t>
      </w:r>
      <w:proofErr w:type="spellStart"/>
      <w:r>
        <w:rPr>
          <w:rFonts w:cs="Times New Roman"/>
          <w:szCs w:val="24"/>
        </w:rPr>
        <w:t>monogastric</w:t>
      </w:r>
      <w:proofErr w:type="spellEnd"/>
      <w:r>
        <w:rPr>
          <w:rFonts w:cs="Times New Roman"/>
          <w:szCs w:val="24"/>
        </w:rPr>
        <w:t xml:space="preserve"> animals (</w:t>
      </w:r>
      <w:proofErr w:type="spellStart"/>
      <w:r>
        <w:rPr>
          <w:rFonts w:cs="Times New Roman"/>
          <w:szCs w:val="24"/>
        </w:rPr>
        <w:t>Platel</w:t>
      </w:r>
      <w:proofErr w:type="spellEnd"/>
      <w:r>
        <w:rPr>
          <w:rFonts w:cs="Times New Roman"/>
          <w:szCs w:val="24"/>
        </w:rPr>
        <w:t xml:space="preserve"> and Srinivasan 2004). For example, essential oils that were used as feed additives resulted in the increased activities of trypsin and amylase in broilers (Lee et al. 2003; Jang et al. 2004). Similarly, higher amylase, lipase, trypsin, and chymotrypsin activities were observed in weaned piglets fed herbal additives (Zhu et al. 2002). Herbal feed additives were also reported to stimulate the secretion of intestinal mucus in broilers that resulted in the lower adhesion rates of pathogens (</w:t>
      </w:r>
      <w:proofErr w:type="spellStart"/>
      <w:r>
        <w:rPr>
          <w:rFonts w:cs="Times New Roman"/>
          <w:szCs w:val="24"/>
        </w:rPr>
        <w:t>Jamroz</w:t>
      </w:r>
      <w:proofErr w:type="spellEnd"/>
      <w:r>
        <w:rPr>
          <w:rFonts w:cs="Times New Roman"/>
          <w:szCs w:val="24"/>
        </w:rPr>
        <w:t xml:space="preserve"> et al. 2006).   </w:t>
      </w:r>
    </w:p>
    <w:p w:rsidR="00CC65F4" w:rsidRPr="00945347" w:rsidRDefault="009F6756" w:rsidP="00945347">
      <w:pPr>
        <w:spacing w:after="0"/>
        <w:ind w:firstLine="720"/>
        <w:rPr>
          <w:rFonts w:cs="Times New Roman"/>
          <w:bCs/>
          <w:szCs w:val="24"/>
        </w:rPr>
      </w:pPr>
      <w:r>
        <w:rPr>
          <w:rFonts w:cs="Times New Roman"/>
          <w:szCs w:val="24"/>
        </w:rPr>
        <w:t>The beneficial effects of these plant-based additives were also observed in aquatic animals (</w:t>
      </w:r>
      <w:proofErr w:type="spellStart"/>
      <w:r>
        <w:rPr>
          <w:rFonts w:cs="Times New Roman"/>
          <w:szCs w:val="24"/>
        </w:rPr>
        <w:t>Citarasu</w:t>
      </w:r>
      <w:proofErr w:type="spellEnd"/>
      <w:r>
        <w:rPr>
          <w:rFonts w:cs="Times New Roman"/>
          <w:szCs w:val="24"/>
        </w:rPr>
        <w:t xml:space="preserve"> 2010; </w:t>
      </w:r>
      <w:proofErr w:type="spellStart"/>
      <w:r>
        <w:rPr>
          <w:rFonts w:cs="Times New Roman"/>
          <w:szCs w:val="24"/>
        </w:rPr>
        <w:t>Asimi</w:t>
      </w:r>
      <w:proofErr w:type="spellEnd"/>
      <w:r>
        <w:rPr>
          <w:rFonts w:cs="Times New Roman"/>
          <w:szCs w:val="24"/>
        </w:rPr>
        <w:t xml:space="preserve"> and </w:t>
      </w:r>
      <w:proofErr w:type="spellStart"/>
      <w:r>
        <w:rPr>
          <w:rFonts w:cs="Times New Roman"/>
          <w:szCs w:val="24"/>
        </w:rPr>
        <w:t>Sahu</w:t>
      </w:r>
      <w:proofErr w:type="spellEnd"/>
      <w:r>
        <w:rPr>
          <w:rFonts w:cs="Times New Roman"/>
          <w:szCs w:val="24"/>
        </w:rPr>
        <w:t xml:space="preserve"> 2013). Because of their beneficial effects, several of these plants have been used as </w:t>
      </w:r>
      <w:proofErr w:type="spellStart"/>
      <w:r>
        <w:rPr>
          <w:rFonts w:cs="Times New Roman"/>
          <w:szCs w:val="24"/>
        </w:rPr>
        <w:t>phytogenics</w:t>
      </w:r>
      <w:proofErr w:type="spellEnd"/>
      <w:r>
        <w:rPr>
          <w:rFonts w:cs="Times New Roman"/>
          <w:szCs w:val="24"/>
        </w:rPr>
        <w:t xml:space="preserve"> as feed additives to improve gut health as well as to enhance digestion in fish in order to improve growth performance. The active ingredients of these herb and spices in the diets are able to induce the secretion of the digestive enzymes that will stimulate the appetite; thus, increasing food consumption and conversion efﬁciencies. For example, Nile tilapia (</w:t>
      </w:r>
      <w:proofErr w:type="spellStart"/>
      <w:r>
        <w:rPr>
          <w:rFonts w:cs="Times New Roman"/>
          <w:i/>
          <w:szCs w:val="24"/>
        </w:rPr>
        <w:t>Oreochromis</w:t>
      </w:r>
      <w:proofErr w:type="spellEnd"/>
      <w:r>
        <w:rPr>
          <w:rFonts w:cs="Times New Roman"/>
          <w:i/>
          <w:szCs w:val="24"/>
        </w:rPr>
        <w:t xml:space="preserve"> </w:t>
      </w:r>
      <w:proofErr w:type="spellStart"/>
      <w:r>
        <w:rPr>
          <w:rFonts w:cs="Times New Roman"/>
          <w:i/>
          <w:szCs w:val="24"/>
        </w:rPr>
        <w:t>niloticus</w:t>
      </w:r>
      <w:proofErr w:type="spellEnd"/>
      <w:r>
        <w:rPr>
          <w:rFonts w:cs="Times New Roman"/>
          <w:szCs w:val="24"/>
        </w:rPr>
        <w:t>) that were fed diets supplemented with a mixture of digestive herbal extracts and natural emulsifying agents had better feed conversion and protein efficiency than fish fed control diets that did not contain the mixtures (</w:t>
      </w:r>
      <w:proofErr w:type="spellStart"/>
      <w:r>
        <w:rPr>
          <w:rFonts w:cs="Times New Roman"/>
          <w:szCs w:val="24"/>
        </w:rPr>
        <w:t>Ceulemans</w:t>
      </w:r>
      <w:proofErr w:type="spellEnd"/>
      <w:r>
        <w:rPr>
          <w:rFonts w:cs="Times New Roman"/>
          <w:szCs w:val="24"/>
        </w:rPr>
        <w:t xml:space="preserve"> et al. 2009). Hot spices from peppers (</w:t>
      </w:r>
      <w:r>
        <w:rPr>
          <w:rFonts w:cs="Times New Roman"/>
          <w:iCs/>
          <w:szCs w:val="24"/>
        </w:rPr>
        <w:t>e.g</w:t>
      </w:r>
      <w:r>
        <w:rPr>
          <w:rFonts w:cs="Times New Roman"/>
          <w:i/>
          <w:szCs w:val="24"/>
        </w:rPr>
        <w:t>.</w:t>
      </w:r>
      <w:r>
        <w:rPr>
          <w:rFonts w:cs="Times New Roman"/>
          <w:szCs w:val="24"/>
        </w:rPr>
        <w:t xml:space="preserve"> capsaicin and </w:t>
      </w:r>
      <w:proofErr w:type="spellStart"/>
      <w:r>
        <w:rPr>
          <w:rFonts w:cs="Times New Roman"/>
          <w:szCs w:val="24"/>
        </w:rPr>
        <w:t>piperine</w:t>
      </w:r>
      <w:proofErr w:type="spellEnd"/>
      <w:r>
        <w:rPr>
          <w:rFonts w:cs="Times New Roman"/>
          <w:szCs w:val="24"/>
        </w:rPr>
        <w:t xml:space="preserve">) and other essential oils containing </w:t>
      </w:r>
      <w:proofErr w:type="spellStart"/>
      <w:r>
        <w:rPr>
          <w:rFonts w:cs="Times New Roman"/>
          <w:szCs w:val="24"/>
        </w:rPr>
        <w:t>cinnamaldehyde</w:t>
      </w:r>
      <w:proofErr w:type="spellEnd"/>
      <w:r>
        <w:rPr>
          <w:rFonts w:cs="Times New Roman"/>
          <w:szCs w:val="24"/>
        </w:rPr>
        <w:t xml:space="preserve"> stimulated amylase production (Steiner and Syed 2015). Increased enzyme production can result in improvements in digestibility and availability of nutrients from these feedstuffs (</w:t>
      </w:r>
      <w:proofErr w:type="spellStart"/>
      <w:r>
        <w:rPr>
          <w:rFonts w:cs="Times New Roman"/>
          <w:szCs w:val="24"/>
        </w:rPr>
        <w:t>Chesson</w:t>
      </w:r>
      <w:proofErr w:type="spellEnd"/>
      <w:r>
        <w:rPr>
          <w:rFonts w:cs="Times New Roman"/>
          <w:szCs w:val="24"/>
        </w:rPr>
        <w:t xml:space="preserve"> 1987). Moreover, a reduction in the amount of undigested materials that pass into the large intestines will consequently decrease the amount of substrate that will be utilized by pathogenic bacteria for proliferation. Another </w:t>
      </w:r>
      <w:proofErr w:type="spellStart"/>
      <w:r>
        <w:rPr>
          <w:rFonts w:cs="Times New Roman"/>
          <w:szCs w:val="24"/>
        </w:rPr>
        <w:t>phytogenics</w:t>
      </w:r>
      <w:proofErr w:type="spellEnd"/>
      <w:r>
        <w:rPr>
          <w:rFonts w:cs="Times New Roman"/>
          <w:szCs w:val="24"/>
        </w:rPr>
        <w:t xml:space="preserve">, </w:t>
      </w:r>
      <w:proofErr w:type="spellStart"/>
      <w:r>
        <w:rPr>
          <w:rFonts w:cs="Times New Roman"/>
          <w:szCs w:val="24"/>
        </w:rPr>
        <w:t>Livol</w:t>
      </w:r>
      <w:proofErr w:type="spellEnd"/>
      <w:r>
        <w:rPr>
          <w:rFonts w:cs="Times New Roman"/>
          <w:szCs w:val="24"/>
        </w:rPr>
        <w:t xml:space="preserve"> (IHF-1000), </w:t>
      </w:r>
      <w:r>
        <w:rPr>
          <w:rFonts w:cs="Times New Roman"/>
          <w:szCs w:val="24"/>
        </w:rPr>
        <w:lastRenderedPageBreak/>
        <w:t xml:space="preserve">which is </w:t>
      </w:r>
      <w:proofErr w:type="gramStart"/>
      <w:r>
        <w:rPr>
          <w:rFonts w:cs="Times New Roman"/>
          <w:szCs w:val="24"/>
        </w:rPr>
        <w:t>a</w:t>
      </w:r>
      <w:proofErr w:type="gramEnd"/>
      <w:r>
        <w:rPr>
          <w:rFonts w:cs="Times New Roman"/>
          <w:szCs w:val="24"/>
        </w:rPr>
        <w:t xml:space="preserve"> herbal growth promoter that contains plant ingredients such as </w:t>
      </w:r>
      <w:proofErr w:type="spellStart"/>
      <w:r>
        <w:rPr>
          <w:rFonts w:cs="Times New Roman"/>
          <w:i/>
          <w:szCs w:val="24"/>
        </w:rPr>
        <w:t>Bohaevia</w:t>
      </w:r>
      <w:proofErr w:type="spellEnd"/>
      <w:r>
        <w:rPr>
          <w:rFonts w:cs="Times New Roman"/>
          <w:i/>
          <w:szCs w:val="24"/>
        </w:rPr>
        <w:t xml:space="preserve"> </w:t>
      </w:r>
      <w:proofErr w:type="spellStart"/>
      <w:r>
        <w:rPr>
          <w:rFonts w:cs="Times New Roman"/>
          <w:i/>
          <w:szCs w:val="24"/>
        </w:rPr>
        <w:t>diffusa</w:t>
      </w:r>
      <w:proofErr w:type="spellEnd"/>
      <w:r>
        <w:rPr>
          <w:rFonts w:cs="Times New Roman"/>
          <w:szCs w:val="24"/>
        </w:rPr>
        <w:t xml:space="preserve">, </w:t>
      </w:r>
      <w:proofErr w:type="spellStart"/>
      <w:r>
        <w:rPr>
          <w:rFonts w:cs="Times New Roman"/>
          <w:i/>
          <w:szCs w:val="24"/>
        </w:rPr>
        <w:t>Solanum</w:t>
      </w:r>
      <w:proofErr w:type="spellEnd"/>
      <w:r>
        <w:rPr>
          <w:rFonts w:cs="Times New Roman"/>
          <w:i/>
          <w:szCs w:val="24"/>
        </w:rPr>
        <w:t xml:space="preserve"> </w:t>
      </w:r>
      <w:proofErr w:type="spellStart"/>
      <w:r>
        <w:rPr>
          <w:rFonts w:cs="Times New Roman"/>
          <w:i/>
          <w:szCs w:val="24"/>
        </w:rPr>
        <w:t>nigrum</w:t>
      </w:r>
      <w:proofErr w:type="spellEnd"/>
      <w:r>
        <w:rPr>
          <w:rFonts w:cs="Times New Roman"/>
          <w:szCs w:val="24"/>
        </w:rPr>
        <w:t xml:space="preserve">, </w:t>
      </w:r>
      <w:proofErr w:type="spellStart"/>
      <w:r>
        <w:rPr>
          <w:rFonts w:cs="Times New Roman"/>
          <w:i/>
          <w:szCs w:val="24"/>
        </w:rPr>
        <w:t>Terminaelia</w:t>
      </w:r>
      <w:proofErr w:type="spellEnd"/>
      <w:r>
        <w:rPr>
          <w:rFonts w:cs="Times New Roman"/>
          <w:i/>
          <w:szCs w:val="24"/>
        </w:rPr>
        <w:t xml:space="preserve"> </w:t>
      </w:r>
      <w:proofErr w:type="spellStart"/>
      <w:r>
        <w:rPr>
          <w:rFonts w:cs="Times New Roman"/>
          <w:i/>
          <w:szCs w:val="24"/>
        </w:rPr>
        <w:t>arjuna</w:t>
      </w:r>
      <w:proofErr w:type="spellEnd"/>
      <w:r>
        <w:rPr>
          <w:rFonts w:cs="Times New Roman"/>
          <w:szCs w:val="24"/>
        </w:rPr>
        <w:t xml:space="preserve">, </w:t>
      </w:r>
      <w:proofErr w:type="spellStart"/>
      <w:r>
        <w:rPr>
          <w:rFonts w:cs="Times New Roman"/>
          <w:szCs w:val="24"/>
        </w:rPr>
        <w:t>Colosynth</w:t>
      </w:r>
      <w:proofErr w:type="spellEnd"/>
      <w:r>
        <w:rPr>
          <w:rFonts w:cs="Times New Roman"/>
          <w:szCs w:val="24"/>
        </w:rPr>
        <w:t>, and black salt has been demonstrated to signiﬁcantly improve digestion that led to better growth, production, and health in a number of cultivable ﬁshes (</w:t>
      </w:r>
      <w:proofErr w:type="spellStart"/>
      <w:r>
        <w:rPr>
          <w:rFonts w:cs="Times New Roman"/>
          <w:szCs w:val="24"/>
        </w:rPr>
        <w:t>Shadakshari</w:t>
      </w:r>
      <w:proofErr w:type="spellEnd"/>
      <w:r>
        <w:rPr>
          <w:rFonts w:cs="Times New Roman"/>
          <w:szCs w:val="24"/>
        </w:rPr>
        <w:t xml:space="preserve"> 1993; De </w:t>
      </w:r>
      <w:proofErr w:type="spellStart"/>
      <w:r>
        <w:rPr>
          <w:rFonts w:cs="Times New Roman"/>
          <w:szCs w:val="24"/>
        </w:rPr>
        <w:t>Bolle</w:t>
      </w:r>
      <w:proofErr w:type="spellEnd"/>
      <w:r>
        <w:rPr>
          <w:rFonts w:cs="Times New Roman"/>
          <w:szCs w:val="24"/>
        </w:rPr>
        <w:t xml:space="preserve"> et al. 1996; </w:t>
      </w:r>
      <w:proofErr w:type="spellStart"/>
      <w:r>
        <w:rPr>
          <w:rFonts w:cs="Times New Roman"/>
          <w:szCs w:val="24"/>
        </w:rPr>
        <w:t>Jayaprakas</w:t>
      </w:r>
      <w:proofErr w:type="spellEnd"/>
      <w:r>
        <w:rPr>
          <w:rFonts w:cs="Times New Roman"/>
          <w:szCs w:val="24"/>
        </w:rPr>
        <w:t xml:space="preserve"> and </w:t>
      </w:r>
      <w:proofErr w:type="spellStart"/>
      <w:r>
        <w:rPr>
          <w:rFonts w:cs="Times New Roman"/>
          <w:szCs w:val="24"/>
        </w:rPr>
        <w:t>Euphrasia</w:t>
      </w:r>
      <w:proofErr w:type="spellEnd"/>
      <w:r>
        <w:rPr>
          <w:rFonts w:cs="Times New Roman"/>
          <w:szCs w:val="24"/>
        </w:rPr>
        <w:t xml:space="preserve"> 1996). </w:t>
      </w:r>
      <w:proofErr w:type="spellStart"/>
      <w:r>
        <w:rPr>
          <w:rFonts w:cs="Times New Roman"/>
          <w:szCs w:val="24"/>
        </w:rPr>
        <w:t>Maheshappa</w:t>
      </w:r>
      <w:proofErr w:type="spellEnd"/>
      <w:r>
        <w:rPr>
          <w:rFonts w:cs="Times New Roman"/>
          <w:szCs w:val="24"/>
        </w:rPr>
        <w:t xml:space="preserve"> (1993) also studied the effects of </w:t>
      </w:r>
      <w:proofErr w:type="spellStart"/>
      <w:r>
        <w:rPr>
          <w:rFonts w:cs="Times New Roman"/>
          <w:szCs w:val="24"/>
        </w:rPr>
        <w:t>Livol</w:t>
      </w:r>
      <w:proofErr w:type="spellEnd"/>
      <w:r>
        <w:rPr>
          <w:rFonts w:cs="Times New Roman"/>
          <w:szCs w:val="24"/>
        </w:rPr>
        <w:t xml:space="preserve"> (IHF-1000) on </w:t>
      </w:r>
      <w:proofErr w:type="spellStart"/>
      <w:r>
        <w:rPr>
          <w:rFonts w:cs="Times New Roman"/>
          <w:szCs w:val="24"/>
        </w:rPr>
        <w:t>rohu</w:t>
      </w:r>
      <w:proofErr w:type="spellEnd"/>
      <w:r>
        <w:rPr>
          <w:rFonts w:cs="Times New Roman"/>
          <w:szCs w:val="24"/>
        </w:rPr>
        <w:t xml:space="preserve">, </w:t>
      </w:r>
      <w:proofErr w:type="spellStart"/>
      <w:r>
        <w:rPr>
          <w:rFonts w:cs="Times New Roman"/>
          <w:i/>
          <w:szCs w:val="24"/>
        </w:rPr>
        <w:t>Labeo</w:t>
      </w:r>
      <w:proofErr w:type="spellEnd"/>
      <w:r>
        <w:rPr>
          <w:rFonts w:cs="Times New Roman"/>
          <w:i/>
          <w:szCs w:val="24"/>
        </w:rPr>
        <w:t xml:space="preserve"> </w:t>
      </w:r>
      <w:proofErr w:type="spellStart"/>
      <w:r>
        <w:rPr>
          <w:rFonts w:cs="Times New Roman"/>
          <w:i/>
          <w:szCs w:val="24"/>
        </w:rPr>
        <w:t>rohita</w:t>
      </w:r>
      <w:proofErr w:type="spellEnd"/>
      <w:r>
        <w:rPr>
          <w:rFonts w:cs="Times New Roman"/>
          <w:szCs w:val="24"/>
        </w:rPr>
        <w:t xml:space="preserve">. Fish fed </w:t>
      </w:r>
      <w:proofErr w:type="spellStart"/>
      <w:r>
        <w:rPr>
          <w:rFonts w:cs="Times New Roman"/>
          <w:szCs w:val="24"/>
        </w:rPr>
        <w:t>Livol</w:t>
      </w:r>
      <w:proofErr w:type="spellEnd"/>
      <w:r>
        <w:rPr>
          <w:rFonts w:cs="Times New Roman"/>
          <w:szCs w:val="24"/>
        </w:rPr>
        <w:t xml:space="preserve">-incorporated diet had enhanced digestive enzyme activity, which led to increased feed consumption. Aside from fish, </w:t>
      </w:r>
      <w:proofErr w:type="spellStart"/>
      <w:r>
        <w:rPr>
          <w:rFonts w:cs="Times New Roman"/>
          <w:szCs w:val="24"/>
        </w:rPr>
        <w:t>phytogenics</w:t>
      </w:r>
      <w:proofErr w:type="spellEnd"/>
      <w:r>
        <w:rPr>
          <w:rFonts w:cs="Times New Roman"/>
          <w:szCs w:val="24"/>
        </w:rPr>
        <w:t xml:space="preserve"> had beneficial effects on crustaceans. Papaya leaf meal increased protein digestion, food conversion ratio, and growth when fed to </w:t>
      </w:r>
      <w:proofErr w:type="spellStart"/>
      <w:r>
        <w:rPr>
          <w:rFonts w:cs="Times New Roman"/>
          <w:i/>
          <w:szCs w:val="24"/>
        </w:rPr>
        <w:t>Penaeus</w:t>
      </w:r>
      <w:proofErr w:type="spellEnd"/>
      <w:r>
        <w:rPr>
          <w:rFonts w:cs="Times New Roman"/>
          <w:i/>
          <w:szCs w:val="24"/>
        </w:rPr>
        <w:t xml:space="preserve"> monodon</w:t>
      </w:r>
      <w:r>
        <w:rPr>
          <w:rFonts w:cs="Times New Roman"/>
          <w:szCs w:val="24"/>
        </w:rPr>
        <w:t xml:space="preserve"> </w:t>
      </w:r>
      <w:proofErr w:type="spellStart"/>
      <w:r>
        <w:rPr>
          <w:rFonts w:cs="Times New Roman"/>
          <w:szCs w:val="24"/>
        </w:rPr>
        <w:t>postlarvae</w:t>
      </w:r>
      <w:proofErr w:type="spellEnd"/>
      <w:r>
        <w:rPr>
          <w:rFonts w:cs="Times New Roman"/>
          <w:szCs w:val="24"/>
        </w:rPr>
        <w:t xml:space="preserve"> (</w:t>
      </w:r>
      <w:proofErr w:type="spellStart"/>
      <w:r>
        <w:rPr>
          <w:rFonts w:cs="Times New Roman"/>
          <w:szCs w:val="24"/>
        </w:rPr>
        <w:t>Pe</w:t>
      </w:r>
      <w:r>
        <w:t>ñ</w:t>
      </w:r>
      <w:r>
        <w:rPr>
          <w:rFonts w:cs="Times New Roman"/>
          <w:szCs w:val="24"/>
        </w:rPr>
        <w:t>aflorida</w:t>
      </w:r>
      <w:proofErr w:type="spellEnd"/>
      <w:r>
        <w:rPr>
          <w:rFonts w:cs="Times New Roman"/>
          <w:szCs w:val="24"/>
        </w:rPr>
        <w:t xml:space="preserve"> 1995). In addition, </w:t>
      </w:r>
      <w:r>
        <w:rPr>
          <w:rFonts w:cs="Times New Roman"/>
          <w:i/>
          <w:szCs w:val="24"/>
        </w:rPr>
        <w:t>P. monodon</w:t>
      </w:r>
      <w:r>
        <w:rPr>
          <w:rFonts w:cs="Times New Roman"/>
          <w:szCs w:val="24"/>
        </w:rPr>
        <w:t xml:space="preserve"> post-larvae fed with </w:t>
      </w:r>
      <w:proofErr w:type="spellStart"/>
      <w:r>
        <w:rPr>
          <w:rFonts w:cs="Times New Roman"/>
          <w:i/>
          <w:szCs w:val="24"/>
        </w:rPr>
        <w:t>Artemia</w:t>
      </w:r>
      <w:proofErr w:type="spellEnd"/>
      <w:r>
        <w:rPr>
          <w:rFonts w:cs="Times New Roman"/>
          <w:szCs w:val="24"/>
        </w:rPr>
        <w:t xml:space="preserve"> that has been enriched with ginger, </w:t>
      </w:r>
      <w:proofErr w:type="spellStart"/>
      <w:r>
        <w:rPr>
          <w:rFonts w:cs="Times New Roman"/>
          <w:i/>
          <w:szCs w:val="24"/>
        </w:rPr>
        <w:t>Zingiber</w:t>
      </w:r>
      <w:proofErr w:type="spellEnd"/>
      <w:r>
        <w:rPr>
          <w:rFonts w:cs="Times New Roman"/>
          <w:i/>
          <w:szCs w:val="24"/>
        </w:rPr>
        <w:t xml:space="preserve"> </w:t>
      </w:r>
      <w:proofErr w:type="spellStart"/>
      <w:r>
        <w:rPr>
          <w:rFonts w:cs="Times New Roman"/>
          <w:i/>
          <w:szCs w:val="24"/>
        </w:rPr>
        <w:t>ofﬁcinalis</w:t>
      </w:r>
      <w:proofErr w:type="spellEnd"/>
      <w:r>
        <w:rPr>
          <w:rFonts w:cs="Times New Roman"/>
          <w:i/>
          <w:szCs w:val="24"/>
        </w:rPr>
        <w:t>,</w:t>
      </w:r>
      <w:r>
        <w:rPr>
          <w:rFonts w:cs="Times New Roman"/>
          <w:szCs w:val="24"/>
        </w:rPr>
        <w:t xml:space="preserve"> showed significant production of digestive enzymes (amylase, protease, and lipase), as well as better feed conversion efficiency (</w:t>
      </w:r>
      <w:proofErr w:type="spellStart"/>
      <w:r>
        <w:rPr>
          <w:rFonts w:cs="Times New Roman"/>
          <w:szCs w:val="24"/>
        </w:rPr>
        <w:t>Venketramalingam</w:t>
      </w:r>
      <w:proofErr w:type="spellEnd"/>
      <w:r>
        <w:rPr>
          <w:rFonts w:cs="Times New Roman"/>
          <w:szCs w:val="24"/>
        </w:rPr>
        <w:t xml:space="preserve"> et al. 2007). Aside from the antibacterial properties of onion and walnut leaf residues, Bello et al. (2012) observed an increase in the body weight of fish when their diets were supplemented with these plant additives. It was suggested that the increased digestive activity enhanced the production of vitamins, co-factors, and enzymes that resulted in good growth performance. Furthermore, an investigation of the intestinal villi of the fed fish showed increased villi height and width as well as cryptal depth that could be responsible in greater capacity for the absorption of nutrients (Bello et al. 2012). It cannot be ruled out that both onions and walnut leaves are rich in growth stimulants such as flavonoids, </w:t>
      </w:r>
      <w:proofErr w:type="spellStart"/>
      <w:r>
        <w:rPr>
          <w:rFonts w:cs="Times New Roman"/>
          <w:szCs w:val="24"/>
        </w:rPr>
        <w:t>thiosulfinates</w:t>
      </w:r>
      <w:proofErr w:type="spellEnd"/>
      <w:r>
        <w:rPr>
          <w:rFonts w:cs="Times New Roman"/>
          <w:szCs w:val="24"/>
        </w:rPr>
        <w:t>, alkaloids, and tannins (</w:t>
      </w:r>
      <w:proofErr w:type="spellStart"/>
      <w:r>
        <w:rPr>
          <w:rFonts w:cs="Times New Roman"/>
          <w:szCs w:val="24"/>
        </w:rPr>
        <w:t>Azu</w:t>
      </w:r>
      <w:proofErr w:type="spellEnd"/>
      <w:r>
        <w:rPr>
          <w:rFonts w:cs="Times New Roman"/>
          <w:szCs w:val="24"/>
        </w:rPr>
        <w:t xml:space="preserve"> and </w:t>
      </w:r>
      <w:proofErr w:type="spellStart"/>
      <w:r>
        <w:rPr>
          <w:rFonts w:cs="Times New Roman"/>
          <w:szCs w:val="24"/>
        </w:rPr>
        <w:t>Onyeagba</w:t>
      </w:r>
      <w:proofErr w:type="spellEnd"/>
      <w:r>
        <w:rPr>
          <w:rFonts w:cs="Times New Roman"/>
          <w:szCs w:val="24"/>
        </w:rPr>
        <w:t xml:space="preserve"> 2007; Bello et al. 2013). </w:t>
      </w:r>
      <w:r>
        <w:rPr>
          <w:rFonts w:cs="Times New Roman"/>
          <w:bCs/>
          <w:szCs w:val="24"/>
        </w:rPr>
        <w:t xml:space="preserve">Table 2a shows a summary of the effects conferred by these various </w:t>
      </w:r>
      <w:proofErr w:type="spellStart"/>
      <w:r>
        <w:rPr>
          <w:rFonts w:cs="Times New Roman"/>
          <w:bCs/>
          <w:szCs w:val="24"/>
        </w:rPr>
        <w:t>phytogenics</w:t>
      </w:r>
      <w:proofErr w:type="spellEnd"/>
      <w:r>
        <w:rPr>
          <w:rFonts w:cs="Times New Roman"/>
          <w:bCs/>
          <w:szCs w:val="24"/>
        </w:rPr>
        <w:t xml:space="preserve"> in fish gut health. </w:t>
      </w:r>
    </w:p>
    <w:p w:rsidR="00CC65F4" w:rsidRDefault="009F6756">
      <w:pPr>
        <w:spacing w:after="0"/>
        <w:rPr>
          <w:rFonts w:cs="Times New Roman"/>
          <w:b/>
          <w:szCs w:val="24"/>
        </w:rPr>
      </w:pPr>
      <w:r>
        <w:rPr>
          <w:rFonts w:cs="Times New Roman"/>
          <w:b/>
          <w:szCs w:val="24"/>
        </w:rPr>
        <w:t>4.  Effects on fish</w:t>
      </w:r>
      <w:r>
        <w:rPr>
          <w:rFonts w:cs="Times New Roman"/>
          <w:b/>
          <w:color w:val="FF0000"/>
          <w:szCs w:val="24"/>
        </w:rPr>
        <w:t xml:space="preserve"> </w:t>
      </w:r>
      <w:r>
        <w:rPr>
          <w:rFonts w:cs="Times New Roman"/>
          <w:b/>
          <w:szCs w:val="24"/>
        </w:rPr>
        <w:t>gut microflora</w:t>
      </w:r>
    </w:p>
    <w:p w:rsidR="00CC65F4" w:rsidRDefault="009F6756">
      <w:pPr>
        <w:spacing w:after="0"/>
        <w:ind w:firstLine="720"/>
        <w:rPr>
          <w:rFonts w:cs="Times New Roman"/>
          <w:szCs w:val="24"/>
        </w:rPr>
      </w:pPr>
      <w:r>
        <w:rPr>
          <w:rFonts w:cs="Times New Roman"/>
          <w:szCs w:val="24"/>
        </w:rPr>
        <w:t>The gastro-intestinal tract of the fish is colonized by bacteria immediately after hatching, and the microbial community is influenced by both the surrounding environment and some endogenous factors (</w:t>
      </w:r>
      <w:proofErr w:type="spellStart"/>
      <w:r>
        <w:rPr>
          <w:rFonts w:cs="Times New Roman"/>
          <w:szCs w:val="24"/>
        </w:rPr>
        <w:t>Balcázar</w:t>
      </w:r>
      <w:proofErr w:type="spellEnd"/>
      <w:r>
        <w:rPr>
          <w:rFonts w:cs="Times New Roman"/>
          <w:szCs w:val="24"/>
        </w:rPr>
        <w:t xml:space="preserve"> et al. 2006; </w:t>
      </w:r>
      <w:proofErr w:type="spellStart"/>
      <w:r>
        <w:rPr>
          <w:rFonts w:cs="Times New Roman"/>
          <w:szCs w:val="24"/>
        </w:rPr>
        <w:t>Sutili</w:t>
      </w:r>
      <w:proofErr w:type="spellEnd"/>
      <w:r>
        <w:rPr>
          <w:rFonts w:cs="Times New Roman"/>
          <w:szCs w:val="24"/>
        </w:rPr>
        <w:t xml:space="preserve"> et al. 2018). In the early stages of fish </w:t>
      </w:r>
      <w:r>
        <w:rPr>
          <w:rFonts w:cs="Times New Roman"/>
          <w:szCs w:val="24"/>
        </w:rPr>
        <w:lastRenderedPageBreak/>
        <w:t>development, the microbial community in the gut is very dynamic and this usually coincides when the immune system is starting to develop (</w:t>
      </w:r>
      <w:proofErr w:type="spellStart"/>
      <w:r>
        <w:rPr>
          <w:rFonts w:cs="Times New Roman"/>
          <w:szCs w:val="24"/>
        </w:rPr>
        <w:t>Rombout</w:t>
      </w:r>
      <w:proofErr w:type="spellEnd"/>
      <w:r>
        <w:rPr>
          <w:rFonts w:cs="Times New Roman"/>
          <w:szCs w:val="24"/>
        </w:rPr>
        <w:t xml:space="preserve"> et al. 2011). The presence of different bacterial profiles in the gastrointestinal tract of the fish is due to the emergence of a complex and dynamic community of intestinal microbiota, which is influenced by the diversity in the dietary habits and the environment of the fish (Austin 2006; Wong and Rawls 2012). This bacterial community and the metabolites that they produce have significant impacts on the health status of the host by modulating the immune system and other aspects of metabolism (Bento et al. 2013; </w:t>
      </w:r>
      <w:proofErr w:type="spellStart"/>
      <w:r>
        <w:rPr>
          <w:rFonts w:cs="Times New Roman"/>
          <w:szCs w:val="24"/>
        </w:rPr>
        <w:t>Lazado</w:t>
      </w:r>
      <w:proofErr w:type="spellEnd"/>
      <w:r>
        <w:rPr>
          <w:rFonts w:cs="Times New Roman"/>
          <w:szCs w:val="24"/>
        </w:rPr>
        <w:t xml:space="preserve"> and </w:t>
      </w:r>
      <w:proofErr w:type="spellStart"/>
      <w:r>
        <w:rPr>
          <w:rFonts w:cs="Times New Roman"/>
          <w:szCs w:val="24"/>
        </w:rPr>
        <w:t>Caipang</w:t>
      </w:r>
      <w:proofErr w:type="spellEnd"/>
      <w:r>
        <w:rPr>
          <w:rFonts w:cs="Times New Roman"/>
          <w:szCs w:val="24"/>
        </w:rPr>
        <w:t xml:space="preserve"> 2014).  </w:t>
      </w:r>
    </w:p>
    <w:p w:rsidR="00CC65F4" w:rsidRDefault="009F6756">
      <w:pPr>
        <w:spacing w:after="0"/>
        <w:ind w:firstLine="720"/>
        <w:rPr>
          <w:rFonts w:cs="Times New Roman"/>
          <w:szCs w:val="24"/>
        </w:rPr>
      </w:pPr>
      <w:r>
        <w:rPr>
          <w:rFonts w:cs="Times New Roman"/>
          <w:szCs w:val="24"/>
        </w:rPr>
        <w:t xml:space="preserve">The gut microbiota of fish is influenced by genetic, nutritional, microbiological, and environmental factors (Gómez and </w:t>
      </w:r>
      <w:proofErr w:type="spellStart"/>
      <w:r>
        <w:rPr>
          <w:rFonts w:cs="Times New Roman"/>
          <w:szCs w:val="24"/>
        </w:rPr>
        <w:t>Balcázar</w:t>
      </w:r>
      <w:proofErr w:type="spellEnd"/>
      <w:r>
        <w:rPr>
          <w:rFonts w:cs="Times New Roman"/>
          <w:szCs w:val="24"/>
        </w:rPr>
        <w:t xml:space="preserve"> 2008), and an imbalance in the gut microbiota of the host as a result of changes in the diet or the environment is detrimental for the growth performance and health of the animal (Steiner and Syed 2015). On the other hand, an ideal and stable gut microbiota favors optimum growth performance (</w:t>
      </w:r>
      <w:proofErr w:type="spellStart"/>
      <w:r>
        <w:rPr>
          <w:rFonts w:cs="Times New Roman"/>
          <w:szCs w:val="24"/>
        </w:rPr>
        <w:t>Schaedler</w:t>
      </w:r>
      <w:proofErr w:type="spellEnd"/>
      <w:r>
        <w:rPr>
          <w:rFonts w:cs="Times New Roman"/>
          <w:szCs w:val="24"/>
        </w:rPr>
        <w:t xml:space="preserve"> 1973). One of the factors that can influence gut microbiota is the diet of the host. The diet may alter microbial diversity in the gastrointestinal tract, which may have a crucial effect in the metabolism of the host (Ley et al. 2008). Plant-based feed additives have the ability to exert a prebiotic-like effect on the gastro-intestinal tract as well as to modulate the gut bacterial community (</w:t>
      </w:r>
      <w:proofErr w:type="spellStart"/>
      <w:r>
        <w:rPr>
          <w:rFonts w:cs="Times New Roman"/>
          <w:szCs w:val="24"/>
        </w:rPr>
        <w:t>Laparra</w:t>
      </w:r>
      <w:proofErr w:type="spellEnd"/>
      <w:r>
        <w:rPr>
          <w:rFonts w:cs="Times New Roman"/>
          <w:szCs w:val="24"/>
        </w:rPr>
        <w:t xml:space="preserve"> and </w:t>
      </w:r>
      <w:proofErr w:type="spellStart"/>
      <w:r>
        <w:rPr>
          <w:rFonts w:cs="Times New Roman"/>
          <w:szCs w:val="24"/>
        </w:rPr>
        <w:t>Sanz</w:t>
      </w:r>
      <w:proofErr w:type="spellEnd"/>
      <w:r>
        <w:rPr>
          <w:rFonts w:cs="Times New Roman"/>
          <w:szCs w:val="24"/>
        </w:rPr>
        <w:t xml:space="preserve"> 2010).  </w:t>
      </w:r>
    </w:p>
    <w:p w:rsidR="00CC65F4" w:rsidRDefault="009F6756">
      <w:pPr>
        <w:spacing w:after="0"/>
        <w:ind w:firstLine="720"/>
        <w:rPr>
          <w:rFonts w:cs="Times New Roman"/>
          <w:szCs w:val="24"/>
        </w:rPr>
      </w:pPr>
      <w:r>
        <w:rPr>
          <w:rFonts w:cs="Times New Roman"/>
          <w:szCs w:val="24"/>
        </w:rPr>
        <w:t xml:space="preserve">There are limited studies that demonstrate the effects of </w:t>
      </w:r>
      <w:proofErr w:type="spellStart"/>
      <w:r>
        <w:rPr>
          <w:rFonts w:cs="Times New Roman"/>
          <w:szCs w:val="24"/>
        </w:rPr>
        <w:t>phytogenics</w:t>
      </w:r>
      <w:proofErr w:type="spellEnd"/>
      <w:r>
        <w:rPr>
          <w:rFonts w:cs="Times New Roman"/>
          <w:szCs w:val="24"/>
        </w:rPr>
        <w:t xml:space="preserve"> as feed additives on the gut microbiota in fish because earlier studies have focused on the effects of these various plant materials as feed ingredients rather than as feed additives on the microbial communities of the fish gut (</w:t>
      </w:r>
      <w:proofErr w:type="spellStart"/>
      <w:r>
        <w:rPr>
          <w:rFonts w:cs="Times New Roman"/>
          <w:szCs w:val="24"/>
        </w:rPr>
        <w:t>Ringø</w:t>
      </w:r>
      <w:proofErr w:type="spellEnd"/>
      <w:r>
        <w:rPr>
          <w:rFonts w:cs="Times New Roman"/>
          <w:szCs w:val="24"/>
        </w:rPr>
        <w:t xml:space="preserve"> et al. 2008; Silva et al. 2011; </w:t>
      </w:r>
      <w:proofErr w:type="spellStart"/>
      <w:r>
        <w:rPr>
          <w:rFonts w:cs="Times New Roman"/>
          <w:szCs w:val="24"/>
        </w:rPr>
        <w:t>Reveco</w:t>
      </w:r>
      <w:proofErr w:type="spellEnd"/>
      <w:r>
        <w:rPr>
          <w:rFonts w:cs="Times New Roman"/>
          <w:szCs w:val="24"/>
        </w:rPr>
        <w:t xml:space="preserve"> et al. 2014; </w:t>
      </w:r>
      <w:proofErr w:type="spellStart"/>
      <w:r>
        <w:rPr>
          <w:rFonts w:cs="Times New Roman"/>
          <w:szCs w:val="24"/>
        </w:rPr>
        <w:t>Zarkasi</w:t>
      </w:r>
      <w:proofErr w:type="spellEnd"/>
      <w:r>
        <w:rPr>
          <w:rFonts w:cs="Times New Roman"/>
          <w:szCs w:val="24"/>
        </w:rPr>
        <w:t xml:space="preserve"> et al. 2017). Some of these plant ingredients contain anti-nutritional factors that hinder protein digestion in the host even if they have high carbohydrate and protein levels. For example, it was demonstrated that the inclusion of soybean meal in the diet of the fish contributed to the </w:t>
      </w:r>
      <w:r>
        <w:rPr>
          <w:rFonts w:cs="Times New Roman"/>
          <w:szCs w:val="24"/>
        </w:rPr>
        <w:lastRenderedPageBreak/>
        <w:t>increased abundance of the microbial community and its diversity in the gut (</w:t>
      </w:r>
      <w:proofErr w:type="spellStart"/>
      <w:r>
        <w:rPr>
          <w:rFonts w:cs="Times New Roman"/>
          <w:szCs w:val="24"/>
        </w:rPr>
        <w:t>Ringø</w:t>
      </w:r>
      <w:proofErr w:type="spellEnd"/>
      <w:r>
        <w:rPr>
          <w:rFonts w:cs="Times New Roman"/>
          <w:szCs w:val="24"/>
        </w:rPr>
        <w:t xml:space="preserve"> et al. 2008). However, when used as a feed additive it is unclear whether these plant-based substances will exert a similar effect on gut microbiota. In spite of the scarcity of research studies along this line, there were some initiatives on testing the beneficial effects of using various herbs as feed additives for fish. Liu et al. (2004) added various Chinese herbs to carp diets and observed the presence of higher populations of useful bacteria such as </w:t>
      </w:r>
      <w:r>
        <w:rPr>
          <w:rFonts w:cs="Times New Roman"/>
          <w:i/>
          <w:szCs w:val="24"/>
        </w:rPr>
        <w:t>Bacillus</w:t>
      </w:r>
      <w:r>
        <w:rPr>
          <w:rFonts w:cs="Times New Roman"/>
          <w:szCs w:val="24"/>
        </w:rPr>
        <w:t xml:space="preserve"> spp., while reducing the populations of </w:t>
      </w:r>
      <w:proofErr w:type="spellStart"/>
      <w:r>
        <w:rPr>
          <w:rFonts w:cs="Times New Roman"/>
          <w:i/>
          <w:szCs w:val="24"/>
        </w:rPr>
        <w:t>Aeromonas</w:t>
      </w:r>
      <w:proofErr w:type="spellEnd"/>
      <w:r>
        <w:rPr>
          <w:rFonts w:cs="Times New Roman"/>
          <w:szCs w:val="24"/>
        </w:rPr>
        <w:t xml:space="preserve">, </w:t>
      </w:r>
      <w:proofErr w:type="spellStart"/>
      <w:r>
        <w:rPr>
          <w:rFonts w:cs="Times New Roman"/>
          <w:i/>
          <w:szCs w:val="24"/>
        </w:rPr>
        <w:t>Plesiomonas</w:t>
      </w:r>
      <w:proofErr w:type="spellEnd"/>
      <w:r>
        <w:rPr>
          <w:rFonts w:cs="Times New Roman"/>
          <w:szCs w:val="24"/>
        </w:rPr>
        <w:t xml:space="preserve">, </w:t>
      </w:r>
      <w:r>
        <w:rPr>
          <w:rFonts w:cs="Times New Roman"/>
          <w:i/>
          <w:szCs w:val="24"/>
        </w:rPr>
        <w:t>Pseudomonas</w:t>
      </w:r>
      <w:r>
        <w:rPr>
          <w:rFonts w:cs="Times New Roman"/>
          <w:szCs w:val="24"/>
        </w:rPr>
        <w:t xml:space="preserve">, </w:t>
      </w:r>
      <w:r>
        <w:rPr>
          <w:rFonts w:cs="Times New Roman"/>
          <w:i/>
          <w:szCs w:val="24"/>
        </w:rPr>
        <w:t>Vibrio</w:t>
      </w:r>
      <w:r>
        <w:rPr>
          <w:rFonts w:cs="Times New Roman"/>
          <w:szCs w:val="24"/>
        </w:rPr>
        <w:t xml:space="preserve">, and </w:t>
      </w:r>
      <w:r>
        <w:rPr>
          <w:rFonts w:cs="Times New Roman"/>
          <w:i/>
          <w:szCs w:val="24"/>
        </w:rPr>
        <w:t>Enterobacter</w:t>
      </w:r>
      <w:r>
        <w:rPr>
          <w:rFonts w:cs="Times New Roman"/>
          <w:szCs w:val="24"/>
        </w:rPr>
        <w:t xml:space="preserve">. In a study by </w:t>
      </w:r>
      <w:proofErr w:type="spellStart"/>
      <w:r>
        <w:rPr>
          <w:rFonts w:cs="Times New Roman"/>
          <w:szCs w:val="24"/>
        </w:rPr>
        <w:t>Giannenas</w:t>
      </w:r>
      <w:proofErr w:type="spellEnd"/>
      <w:r>
        <w:rPr>
          <w:rFonts w:cs="Times New Roman"/>
          <w:szCs w:val="24"/>
        </w:rPr>
        <w:t xml:space="preserve"> et al. (2012) on the effects of supplementation with </w:t>
      </w:r>
      <w:proofErr w:type="spellStart"/>
      <w:r>
        <w:rPr>
          <w:rFonts w:cs="Times New Roman"/>
          <w:szCs w:val="24"/>
        </w:rPr>
        <w:t>phytogenics</w:t>
      </w:r>
      <w:proofErr w:type="spellEnd"/>
      <w:r>
        <w:rPr>
          <w:rFonts w:cs="Times New Roman"/>
          <w:szCs w:val="24"/>
        </w:rPr>
        <w:t xml:space="preserve">, </w:t>
      </w:r>
      <w:proofErr w:type="spellStart"/>
      <w:r>
        <w:rPr>
          <w:rFonts w:cs="Times New Roman"/>
          <w:szCs w:val="24"/>
        </w:rPr>
        <w:t>thymol</w:t>
      </w:r>
      <w:proofErr w:type="spellEnd"/>
      <w:r>
        <w:rPr>
          <w:rFonts w:cs="Times New Roman"/>
          <w:szCs w:val="24"/>
        </w:rPr>
        <w:t xml:space="preserve">, and </w:t>
      </w:r>
      <w:proofErr w:type="spellStart"/>
      <w:r>
        <w:rPr>
          <w:rFonts w:cs="Times New Roman"/>
          <w:szCs w:val="24"/>
        </w:rPr>
        <w:t>carvacrol</w:t>
      </w:r>
      <w:proofErr w:type="spellEnd"/>
      <w:r>
        <w:rPr>
          <w:rFonts w:cs="Times New Roman"/>
          <w:szCs w:val="24"/>
        </w:rPr>
        <w:t xml:space="preserve"> on the intestinal microbiota and anti-oxidant status of rainbow trout, </w:t>
      </w:r>
      <w:proofErr w:type="spellStart"/>
      <w:r>
        <w:rPr>
          <w:rFonts w:cs="Times New Roman"/>
          <w:i/>
          <w:szCs w:val="24"/>
        </w:rPr>
        <w:t>Oncorhynchus</w:t>
      </w:r>
      <w:proofErr w:type="spellEnd"/>
      <w:r>
        <w:rPr>
          <w:rFonts w:cs="Times New Roman"/>
          <w:i/>
          <w:szCs w:val="24"/>
        </w:rPr>
        <w:t xml:space="preserve"> mykiss</w:t>
      </w:r>
      <w:r>
        <w:rPr>
          <w:rFonts w:cs="Times New Roman"/>
          <w:szCs w:val="24"/>
        </w:rPr>
        <w:t xml:space="preserve"> showed that </w:t>
      </w:r>
      <w:r>
        <w:rPr>
          <w:rFonts w:cs="Times New Roman"/>
          <w:i/>
          <w:szCs w:val="24"/>
        </w:rPr>
        <w:t>Lactobacillus</w:t>
      </w:r>
      <w:r>
        <w:rPr>
          <w:rFonts w:cs="Times New Roman"/>
          <w:szCs w:val="24"/>
        </w:rPr>
        <w:t xml:space="preserve"> loads were higher in </w:t>
      </w:r>
      <w:proofErr w:type="spellStart"/>
      <w:r>
        <w:rPr>
          <w:rFonts w:cs="Times New Roman"/>
          <w:szCs w:val="24"/>
        </w:rPr>
        <w:t>carvacrol</w:t>
      </w:r>
      <w:proofErr w:type="spellEnd"/>
      <w:r>
        <w:rPr>
          <w:rFonts w:cs="Times New Roman"/>
          <w:szCs w:val="24"/>
        </w:rPr>
        <w:t xml:space="preserve">-fed group compared with the control. Moreover, both </w:t>
      </w:r>
      <w:proofErr w:type="spellStart"/>
      <w:r>
        <w:rPr>
          <w:rFonts w:cs="Times New Roman"/>
          <w:szCs w:val="24"/>
        </w:rPr>
        <w:t>phytogenics</w:t>
      </w:r>
      <w:proofErr w:type="spellEnd"/>
      <w:r>
        <w:rPr>
          <w:rFonts w:cs="Times New Roman"/>
          <w:szCs w:val="24"/>
        </w:rPr>
        <w:t xml:space="preserve"> significantly improved antioxidant status in the fish. The authors concluded that additional work is needed using molecular tools in order to identify with increased precision the bacterial species that are mostly affected by these </w:t>
      </w:r>
      <w:proofErr w:type="spellStart"/>
      <w:r>
        <w:rPr>
          <w:rFonts w:cs="Times New Roman"/>
          <w:szCs w:val="24"/>
        </w:rPr>
        <w:t>phytogenics</w:t>
      </w:r>
      <w:proofErr w:type="spellEnd"/>
      <w:r>
        <w:rPr>
          <w:rFonts w:cs="Times New Roman"/>
          <w:szCs w:val="24"/>
        </w:rPr>
        <w:t xml:space="preserve"> and how those changes in the bacterial profile will impact the health status of the fish or how will the fish resist various pathogens. Similarly, Ran et al. (2016) tested the effects of a commercial mixture of </w:t>
      </w:r>
      <w:proofErr w:type="spellStart"/>
      <w:r>
        <w:rPr>
          <w:rFonts w:cs="Times New Roman"/>
          <w:szCs w:val="24"/>
        </w:rPr>
        <w:t>thymol</w:t>
      </w:r>
      <w:proofErr w:type="spellEnd"/>
      <w:r>
        <w:rPr>
          <w:rFonts w:cs="Times New Roman"/>
          <w:szCs w:val="24"/>
        </w:rPr>
        <w:t xml:space="preserve"> and </w:t>
      </w:r>
      <w:proofErr w:type="spellStart"/>
      <w:r>
        <w:rPr>
          <w:rFonts w:cs="Times New Roman"/>
          <w:szCs w:val="24"/>
        </w:rPr>
        <w:t>carvacrol</w:t>
      </w:r>
      <w:proofErr w:type="spellEnd"/>
      <w:r>
        <w:rPr>
          <w:rFonts w:cs="Times New Roman"/>
          <w:szCs w:val="24"/>
        </w:rPr>
        <w:t xml:space="preserve"> as feed additives for hybrid tilapia (</w:t>
      </w:r>
      <w:r>
        <w:rPr>
          <w:rFonts w:cs="Times New Roman"/>
          <w:i/>
          <w:szCs w:val="24"/>
        </w:rPr>
        <w:t xml:space="preserve">O. </w:t>
      </w:r>
      <w:proofErr w:type="spellStart"/>
      <w:r>
        <w:rPr>
          <w:rFonts w:cs="Times New Roman"/>
          <w:i/>
          <w:szCs w:val="24"/>
        </w:rPr>
        <w:t>niloticus</w:t>
      </w:r>
      <w:proofErr w:type="spellEnd"/>
      <w:r>
        <w:rPr>
          <w:rFonts w:cs="Times New Roman"/>
          <w:szCs w:val="24"/>
        </w:rPr>
        <w:t xml:space="preserve"> x </w:t>
      </w:r>
      <w:r>
        <w:rPr>
          <w:rFonts w:cs="Times New Roman"/>
          <w:i/>
          <w:szCs w:val="24"/>
        </w:rPr>
        <w:t>O. aureus</w:t>
      </w:r>
      <w:r>
        <w:rPr>
          <w:rFonts w:cs="Times New Roman"/>
          <w:szCs w:val="24"/>
        </w:rPr>
        <w:t xml:space="preserve">). After 6 weeks of feeding, there was a significant change in the gut microbiota of the fish. Using denaturing gradient gel electrophoresis (DGGE) analysis, </w:t>
      </w:r>
      <w:proofErr w:type="spellStart"/>
      <w:r>
        <w:rPr>
          <w:rFonts w:cs="Times New Roman"/>
          <w:szCs w:val="24"/>
        </w:rPr>
        <w:t>Sutili</w:t>
      </w:r>
      <w:proofErr w:type="spellEnd"/>
      <w:r>
        <w:rPr>
          <w:rFonts w:cs="Times New Roman"/>
          <w:szCs w:val="24"/>
        </w:rPr>
        <w:t xml:space="preserve"> et al. (2016) evaluated the effects of essential oils from American basil,</w:t>
      </w:r>
      <w:r>
        <w:rPr>
          <w:rFonts w:cs="Times New Roman"/>
          <w:color w:val="FF0000"/>
          <w:szCs w:val="24"/>
        </w:rPr>
        <w:t xml:space="preserve"> </w:t>
      </w:r>
      <w:proofErr w:type="spellStart"/>
      <w:r>
        <w:rPr>
          <w:rFonts w:cs="Times New Roman"/>
          <w:i/>
          <w:szCs w:val="24"/>
        </w:rPr>
        <w:t>Ocimum</w:t>
      </w:r>
      <w:proofErr w:type="spellEnd"/>
      <w:r>
        <w:rPr>
          <w:rFonts w:cs="Times New Roman"/>
          <w:i/>
          <w:szCs w:val="24"/>
        </w:rPr>
        <w:t xml:space="preserve"> </w:t>
      </w:r>
      <w:proofErr w:type="spellStart"/>
      <w:r>
        <w:rPr>
          <w:rFonts w:cs="Times New Roman"/>
          <w:i/>
          <w:szCs w:val="24"/>
        </w:rPr>
        <w:t>americanum</w:t>
      </w:r>
      <w:proofErr w:type="spellEnd"/>
      <w:r>
        <w:rPr>
          <w:rFonts w:cs="Times New Roman"/>
          <w:szCs w:val="24"/>
        </w:rPr>
        <w:t xml:space="preserve"> on the intestinal microbiome in red drum, </w:t>
      </w:r>
      <w:proofErr w:type="spellStart"/>
      <w:r>
        <w:rPr>
          <w:rFonts w:cs="Times New Roman"/>
          <w:i/>
          <w:szCs w:val="24"/>
        </w:rPr>
        <w:t>Sciaenops</w:t>
      </w:r>
      <w:proofErr w:type="spellEnd"/>
      <w:r>
        <w:rPr>
          <w:rFonts w:cs="Times New Roman"/>
          <w:i/>
          <w:szCs w:val="24"/>
        </w:rPr>
        <w:t xml:space="preserve"> </w:t>
      </w:r>
      <w:proofErr w:type="spellStart"/>
      <w:r>
        <w:rPr>
          <w:rFonts w:cs="Times New Roman"/>
          <w:i/>
          <w:szCs w:val="24"/>
        </w:rPr>
        <w:t>ocellatus</w:t>
      </w:r>
      <w:proofErr w:type="spellEnd"/>
      <w:r>
        <w:rPr>
          <w:rFonts w:cs="Times New Roman"/>
          <w:szCs w:val="24"/>
        </w:rPr>
        <w:t xml:space="preserve">, following oral administration together with the feeds. Navarrete et al. (2010) also evaluated the effects of a diet supplemented with essential oils derived from </w:t>
      </w:r>
      <w:r>
        <w:rPr>
          <w:rFonts w:cs="Times New Roman"/>
          <w:i/>
          <w:szCs w:val="24"/>
        </w:rPr>
        <w:t>Thymus vulgaris</w:t>
      </w:r>
      <w:r>
        <w:rPr>
          <w:rFonts w:cs="Times New Roman"/>
          <w:szCs w:val="24"/>
        </w:rPr>
        <w:t xml:space="preserve"> on the bacterial composition of the gut in rainbow trout, </w:t>
      </w:r>
      <w:proofErr w:type="spellStart"/>
      <w:r>
        <w:rPr>
          <w:rFonts w:cs="Times New Roman"/>
          <w:i/>
          <w:szCs w:val="24"/>
        </w:rPr>
        <w:t>Oncorhynchus</w:t>
      </w:r>
      <w:proofErr w:type="spellEnd"/>
      <w:r>
        <w:rPr>
          <w:rFonts w:cs="Times New Roman"/>
          <w:i/>
          <w:szCs w:val="24"/>
        </w:rPr>
        <w:t xml:space="preserve"> mykiss,</w:t>
      </w:r>
      <w:r>
        <w:rPr>
          <w:rFonts w:cs="Times New Roman"/>
          <w:szCs w:val="24"/>
        </w:rPr>
        <w:t xml:space="preserve"> using temperature gradient gel electrophoresis analysis (TGGE). In both studies, the </w:t>
      </w:r>
      <w:proofErr w:type="spellStart"/>
      <w:r>
        <w:rPr>
          <w:rFonts w:cs="Times New Roman"/>
          <w:szCs w:val="24"/>
        </w:rPr>
        <w:t>phytogenics</w:t>
      </w:r>
      <w:proofErr w:type="spellEnd"/>
      <w:r>
        <w:rPr>
          <w:rFonts w:cs="Times New Roman"/>
          <w:szCs w:val="24"/>
        </w:rPr>
        <w:t xml:space="preserve"> did not affect the population of the gut microbiota in the host. A </w:t>
      </w:r>
      <w:r>
        <w:rPr>
          <w:rFonts w:cs="Times New Roman"/>
          <w:szCs w:val="24"/>
        </w:rPr>
        <w:lastRenderedPageBreak/>
        <w:t xml:space="preserve">summary of the effects on fish gut microflora following dietary inclusion of these </w:t>
      </w:r>
      <w:proofErr w:type="spellStart"/>
      <w:r>
        <w:rPr>
          <w:rFonts w:cs="Times New Roman"/>
          <w:szCs w:val="24"/>
        </w:rPr>
        <w:t>phytogenics</w:t>
      </w:r>
      <w:proofErr w:type="spellEnd"/>
      <w:r>
        <w:rPr>
          <w:rFonts w:cs="Times New Roman"/>
          <w:szCs w:val="24"/>
        </w:rPr>
        <w:t xml:space="preserve"> is shown in Table 2b.</w:t>
      </w:r>
    </w:p>
    <w:p w:rsidR="00945347" w:rsidRDefault="009F6756" w:rsidP="00945347">
      <w:pPr>
        <w:spacing w:after="0"/>
        <w:ind w:firstLine="720"/>
        <w:rPr>
          <w:rFonts w:cs="Times New Roman"/>
          <w:b/>
          <w:szCs w:val="24"/>
        </w:rPr>
      </w:pPr>
      <w:r>
        <w:rPr>
          <w:rFonts w:cs="Times New Roman"/>
          <w:szCs w:val="24"/>
        </w:rPr>
        <w:t xml:space="preserve">In these previous studies, the mechanisms and interactions of these phytogenic feed additives in the gastrointestinal tract of the fish have not been clearly elucidated. For example, there are bioactive molecules and extracts from plants that are sensitive to acidic environment and digestive enzymes during passage along the gastrointestinal tract (Zhang et al. 2016). This was not demonstrated whether there was degradation and/or absorption of these phytogenic feed additives along the different regions of the digestive tract. It was not also shown at which sites of the gut are these phytogenic additives are absorbed considering that </w:t>
      </w:r>
      <w:proofErr w:type="spellStart"/>
      <w:r>
        <w:rPr>
          <w:rFonts w:cs="Times New Roman"/>
          <w:szCs w:val="24"/>
        </w:rPr>
        <w:t>phytogenics</w:t>
      </w:r>
      <w:proofErr w:type="spellEnd"/>
      <w:r>
        <w:rPr>
          <w:rFonts w:cs="Times New Roman"/>
          <w:szCs w:val="24"/>
        </w:rPr>
        <w:t xml:space="preserve"> are so diverse and each phytogenic molecule could be targeted by certain regions of the gut. The phytogenic compounds could be broken down and absorbed in the upper region of the digestive tract before reaching their optimum site of action; hence, it is necessary that these compounds are protected from gastric absorption (</w:t>
      </w:r>
      <w:proofErr w:type="spellStart"/>
      <w:r>
        <w:rPr>
          <w:rFonts w:cs="Times New Roman"/>
          <w:szCs w:val="24"/>
        </w:rPr>
        <w:t>Kohlert</w:t>
      </w:r>
      <w:proofErr w:type="spellEnd"/>
      <w:r>
        <w:rPr>
          <w:rFonts w:cs="Times New Roman"/>
          <w:szCs w:val="24"/>
        </w:rPr>
        <w:t xml:space="preserve"> et al. 2000; </w:t>
      </w:r>
      <w:proofErr w:type="spellStart"/>
      <w:r>
        <w:rPr>
          <w:rFonts w:cs="Times New Roman"/>
          <w:szCs w:val="24"/>
        </w:rPr>
        <w:t>Michiels</w:t>
      </w:r>
      <w:proofErr w:type="spellEnd"/>
      <w:r>
        <w:rPr>
          <w:rFonts w:cs="Times New Roman"/>
          <w:szCs w:val="24"/>
        </w:rPr>
        <w:t xml:space="preserve"> et al. 2008; Zhang et al. 2016). The use of </w:t>
      </w:r>
      <w:proofErr w:type="spellStart"/>
      <w:r>
        <w:rPr>
          <w:rFonts w:cs="Times New Roman"/>
          <w:szCs w:val="24"/>
        </w:rPr>
        <w:t>phytogenics</w:t>
      </w:r>
      <w:proofErr w:type="spellEnd"/>
      <w:r>
        <w:rPr>
          <w:rFonts w:cs="Times New Roman"/>
          <w:szCs w:val="24"/>
        </w:rPr>
        <w:t xml:space="preserve"> as feed additives will likely have a negligible effect on the bacterial composition in the gut of the fish if sub-optimal doses of the </w:t>
      </w:r>
      <w:proofErr w:type="spellStart"/>
      <w:r>
        <w:rPr>
          <w:rFonts w:cs="Times New Roman"/>
          <w:szCs w:val="24"/>
        </w:rPr>
        <w:t>phytogenics</w:t>
      </w:r>
      <w:proofErr w:type="spellEnd"/>
      <w:r>
        <w:rPr>
          <w:rFonts w:cs="Times New Roman"/>
          <w:szCs w:val="24"/>
        </w:rPr>
        <w:t xml:space="preserve"> are incorporated in the diets. It is also postulated that such conditions would take place in relation to the stability and interaction of the </w:t>
      </w:r>
      <w:proofErr w:type="spellStart"/>
      <w:r>
        <w:rPr>
          <w:rFonts w:cs="Times New Roman"/>
          <w:szCs w:val="24"/>
        </w:rPr>
        <w:t>phytogenics</w:t>
      </w:r>
      <w:proofErr w:type="spellEnd"/>
      <w:r>
        <w:rPr>
          <w:rFonts w:cs="Times New Roman"/>
          <w:szCs w:val="24"/>
        </w:rPr>
        <w:t xml:space="preserve"> with environmental factors, type of food, and the host (</w:t>
      </w:r>
      <w:proofErr w:type="spellStart"/>
      <w:r>
        <w:rPr>
          <w:rFonts w:cs="Times New Roman"/>
          <w:szCs w:val="24"/>
        </w:rPr>
        <w:t>Sutili</w:t>
      </w:r>
      <w:proofErr w:type="spellEnd"/>
      <w:r>
        <w:rPr>
          <w:rFonts w:cs="Times New Roman"/>
          <w:szCs w:val="24"/>
        </w:rPr>
        <w:t xml:space="preserve"> et al. 2018).   </w:t>
      </w:r>
    </w:p>
    <w:p w:rsidR="00CC65F4" w:rsidRDefault="009F6756" w:rsidP="00945347">
      <w:pPr>
        <w:spacing w:after="0"/>
        <w:rPr>
          <w:rFonts w:cs="Times New Roman"/>
          <w:b/>
          <w:szCs w:val="24"/>
        </w:rPr>
      </w:pPr>
      <w:r>
        <w:rPr>
          <w:rFonts w:cs="Times New Roman"/>
          <w:b/>
          <w:szCs w:val="24"/>
        </w:rPr>
        <w:t>5.  Future perspectives</w:t>
      </w:r>
    </w:p>
    <w:p w:rsidR="00CC65F4" w:rsidRDefault="009F6756">
      <w:pPr>
        <w:spacing w:after="0"/>
        <w:rPr>
          <w:rFonts w:cs="Times New Roman"/>
          <w:szCs w:val="24"/>
        </w:rPr>
      </w:pPr>
      <w:r>
        <w:rPr>
          <w:rFonts w:cs="Times New Roman"/>
          <w:szCs w:val="24"/>
        </w:rPr>
        <w:tab/>
        <w:t xml:space="preserve">It is evident that </w:t>
      </w:r>
      <w:proofErr w:type="spellStart"/>
      <w:r>
        <w:rPr>
          <w:rFonts w:cs="Times New Roman"/>
          <w:szCs w:val="24"/>
        </w:rPr>
        <w:t>phytogenics</w:t>
      </w:r>
      <w:proofErr w:type="spellEnd"/>
      <w:r>
        <w:rPr>
          <w:rFonts w:cs="Times New Roman"/>
          <w:szCs w:val="24"/>
        </w:rPr>
        <w:t xml:space="preserve"> and their active components are able to affect the gut health as well as to modulate the intestinal microbiota of the fish; thus, they are good candidates to be used as health-promoting agents in aquaculture. Most of the published studies demonstrated that </w:t>
      </w:r>
      <w:proofErr w:type="spellStart"/>
      <w:r>
        <w:rPr>
          <w:rFonts w:cs="Times New Roman"/>
          <w:szCs w:val="24"/>
        </w:rPr>
        <w:t>phytogenics</w:t>
      </w:r>
      <w:proofErr w:type="spellEnd"/>
      <w:r>
        <w:rPr>
          <w:rFonts w:cs="Times New Roman"/>
          <w:szCs w:val="24"/>
        </w:rPr>
        <w:t xml:space="preserve"> can change the microbiome of the gut of the fish, but the benefits to growth and/or systemic immunity were not clearly established. Based on </w:t>
      </w:r>
    </w:p>
    <w:p w:rsidR="00CC65F4" w:rsidRDefault="009F6756">
      <w:pPr>
        <w:spacing w:after="0"/>
        <w:rPr>
          <w:rFonts w:cs="Times New Roman"/>
          <w:szCs w:val="24"/>
        </w:rPr>
      </w:pPr>
      <w:r>
        <w:rPr>
          <w:rFonts w:cs="Times New Roman"/>
          <w:szCs w:val="24"/>
        </w:rPr>
        <w:lastRenderedPageBreak/>
        <w:t xml:space="preserve">available literature, an illustration of the effects on gut health and microflora in fish following dietary inclusion of various </w:t>
      </w:r>
      <w:proofErr w:type="spellStart"/>
      <w:r>
        <w:rPr>
          <w:rFonts w:cs="Times New Roman"/>
          <w:szCs w:val="24"/>
        </w:rPr>
        <w:t>phytogenics</w:t>
      </w:r>
      <w:proofErr w:type="spellEnd"/>
      <w:r>
        <w:rPr>
          <w:rFonts w:cs="Times New Roman"/>
          <w:szCs w:val="24"/>
        </w:rPr>
        <w:t xml:space="preserve"> is shown in Figure 2.  The </w:t>
      </w:r>
      <w:r>
        <w:rPr>
          <w:rFonts w:cs="Times New Roman"/>
          <w:i/>
          <w:szCs w:val="24"/>
        </w:rPr>
        <w:t>in vivo</w:t>
      </w:r>
      <w:r>
        <w:rPr>
          <w:rFonts w:cs="Times New Roman"/>
          <w:szCs w:val="24"/>
        </w:rPr>
        <w:t xml:space="preserve"> effects of dietary inclusions with these </w:t>
      </w:r>
      <w:proofErr w:type="spellStart"/>
      <w:r>
        <w:rPr>
          <w:rFonts w:cs="Times New Roman"/>
          <w:szCs w:val="24"/>
        </w:rPr>
        <w:t>phytogenics</w:t>
      </w:r>
      <w:proofErr w:type="spellEnd"/>
      <w:r>
        <w:rPr>
          <w:rFonts w:cs="Times New Roman"/>
          <w:szCs w:val="24"/>
        </w:rPr>
        <w:t xml:space="preserve"> in fish remain controversial (</w:t>
      </w:r>
      <w:proofErr w:type="spellStart"/>
      <w:r>
        <w:rPr>
          <w:rFonts w:cs="Times New Roman"/>
          <w:szCs w:val="24"/>
        </w:rPr>
        <w:t>Sutili</w:t>
      </w:r>
      <w:proofErr w:type="spellEnd"/>
      <w:r>
        <w:rPr>
          <w:rFonts w:cs="Times New Roman"/>
          <w:szCs w:val="24"/>
        </w:rPr>
        <w:t xml:space="preserve"> et al. 2018) largely because their modes of actions are largely dependent on these factors including, the methods of extraction, the concentration of the additives, manner of delivery and storage conditions before feeding. The beneficial properties and efficiency of these phytogenic feed additives in impacting the health of the fish are largely dependent on the part of the plant that was used as raw material, the method of extraction, and the concentration of the extract (</w:t>
      </w:r>
      <w:proofErr w:type="spellStart"/>
      <w:r>
        <w:rPr>
          <w:rFonts w:cs="Times New Roman"/>
          <w:szCs w:val="24"/>
        </w:rPr>
        <w:t>Reverter</w:t>
      </w:r>
      <w:proofErr w:type="spellEnd"/>
      <w:r>
        <w:rPr>
          <w:rFonts w:cs="Times New Roman"/>
          <w:szCs w:val="24"/>
        </w:rPr>
        <w:t xml:space="preserve"> et al. 2014). Although there were some studies that provided details on the multiple modes of action and potential application of </w:t>
      </w:r>
      <w:proofErr w:type="spellStart"/>
      <w:r>
        <w:rPr>
          <w:rFonts w:cs="Times New Roman"/>
          <w:szCs w:val="24"/>
        </w:rPr>
        <w:t>phytogenics</w:t>
      </w:r>
      <w:proofErr w:type="spellEnd"/>
      <w:r>
        <w:rPr>
          <w:rFonts w:cs="Times New Roman"/>
          <w:szCs w:val="24"/>
        </w:rPr>
        <w:t xml:space="preserve"> in aquaculture, there have been very few initiatives to standardize the extraction procedures, the dosages to be incorporated in the feeds, and the mode of application for each phytogenic substance. Delivery of the </w:t>
      </w:r>
      <w:proofErr w:type="spellStart"/>
      <w:r>
        <w:rPr>
          <w:rFonts w:cs="Times New Roman"/>
          <w:szCs w:val="24"/>
        </w:rPr>
        <w:t>phytogenics</w:t>
      </w:r>
      <w:proofErr w:type="spellEnd"/>
      <w:r>
        <w:rPr>
          <w:rFonts w:cs="Times New Roman"/>
          <w:szCs w:val="24"/>
        </w:rPr>
        <w:t xml:space="preserve"> in fish as well as in crustaceans via injection might be the most rapid way of administration; however, this technique is laborious and stressful for the host animal, especially for juveniles. Hence, oral administration seems to be the most viable and suitable method of application (Yoshida et al. 1995). In addition, the effects of these phytogenic feed additives on fish and crustaceans are observed in a dose-dependent manner, and most often there is a tendency to use these substances in high doses. As such, it is important that the effective concentration of the </w:t>
      </w:r>
      <w:proofErr w:type="spellStart"/>
      <w:r>
        <w:rPr>
          <w:rFonts w:cs="Times New Roman"/>
          <w:szCs w:val="24"/>
        </w:rPr>
        <w:t>phytogenics</w:t>
      </w:r>
      <w:proofErr w:type="spellEnd"/>
      <w:r>
        <w:rPr>
          <w:rFonts w:cs="Times New Roman"/>
          <w:szCs w:val="24"/>
        </w:rPr>
        <w:t xml:space="preserve"> to be incorporated in the feeds has to be determined accurately (</w:t>
      </w:r>
      <w:proofErr w:type="spellStart"/>
      <w:r>
        <w:rPr>
          <w:rFonts w:cs="Times New Roman"/>
          <w:szCs w:val="24"/>
        </w:rPr>
        <w:t>Kajita</w:t>
      </w:r>
      <w:proofErr w:type="spellEnd"/>
      <w:r>
        <w:rPr>
          <w:rFonts w:cs="Times New Roman"/>
          <w:szCs w:val="24"/>
        </w:rPr>
        <w:t xml:space="preserve"> et al. 1990; </w:t>
      </w:r>
      <w:proofErr w:type="spellStart"/>
      <w:r>
        <w:rPr>
          <w:rFonts w:cs="Times New Roman"/>
          <w:szCs w:val="24"/>
        </w:rPr>
        <w:t>Harikrishnan</w:t>
      </w:r>
      <w:proofErr w:type="spellEnd"/>
      <w:r>
        <w:rPr>
          <w:rFonts w:cs="Times New Roman"/>
          <w:szCs w:val="24"/>
        </w:rPr>
        <w:t xml:space="preserve"> et al. 2011). Initiatives on quantifying and characterizing the chemical components of these </w:t>
      </w:r>
      <w:proofErr w:type="spellStart"/>
      <w:r>
        <w:rPr>
          <w:rFonts w:cs="Times New Roman"/>
          <w:szCs w:val="24"/>
        </w:rPr>
        <w:t>phytogenics</w:t>
      </w:r>
      <w:proofErr w:type="spellEnd"/>
      <w:r>
        <w:rPr>
          <w:rFonts w:cs="Times New Roman"/>
          <w:szCs w:val="24"/>
        </w:rPr>
        <w:t xml:space="preserve"> should be carried out in order to identify the bioactive substances that are responsible for the direct beneficial effect, and thus will ensure the formulation of standard protocols on the procedures of extraction, the optimum dose to be used, and how the substance will be delivered to the fish and crustaceans (</w:t>
      </w:r>
      <w:proofErr w:type="spellStart"/>
      <w:r>
        <w:rPr>
          <w:rFonts w:cs="Times New Roman"/>
          <w:szCs w:val="24"/>
        </w:rPr>
        <w:t>Reverter</w:t>
      </w:r>
      <w:proofErr w:type="spellEnd"/>
      <w:r>
        <w:rPr>
          <w:rFonts w:cs="Times New Roman"/>
          <w:szCs w:val="24"/>
        </w:rPr>
        <w:t xml:space="preserve"> et al. 2014). Further studies need to be undertaken in order to gain a deeper understanding on the manner </w:t>
      </w:r>
      <w:r>
        <w:rPr>
          <w:rFonts w:cs="Times New Roman"/>
          <w:szCs w:val="24"/>
        </w:rPr>
        <w:lastRenderedPageBreak/>
        <w:t xml:space="preserve">by which these </w:t>
      </w:r>
      <w:proofErr w:type="spellStart"/>
      <w:r>
        <w:rPr>
          <w:rFonts w:cs="Times New Roman"/>
          <w:szCs w:val="24"/>
        </w:rPr>
        <w:t>phytogenics</w:t>
      </w:r>
      <w:proofErr w:type="spellEnd"/>
      <w:r>
        <w:rPr>
          <w:rFonts w:cs="Times New Roman"/>
          <w:szCs w:val="24"/>
        </w:rPr>
        <w:t xml:space="preserve"> act on to both pathogenic microorganisms and the normal microflora of the gut in order to grasp a clearer knowledge on their impacts on the host and to the environment as well. Moreover, </w:t>
      </w:r>
      <w:proofErr w:type="spellStart"/>
      <w:r>
        <w:rPr>
          <w:rFonts w:cs="Times New Roman"/>
          <w:szCs w:val="24"/>
        </w:rPr>
        <w:t>phytogenics</w:t>
      </w:r>
      <w:proofErr w:type="spellEnd"/>
      <w:r>
        <w:rPr>
          <w:rFonts w:cs="Times New Roman"/>
          <w:szCs w:val="24"/>
        </w:rPr>
        <w:t xml:space="preserve"> may exhibit greater effects to the host because of their wide chemical diversity, and they could elicit a greater range of interactions among the individual components due to the presence of multiple potential action sites. It is also worthwhile to consider that the feed ingredients and the manufacturing process may interfere with the stability of these phytogenic feed additives during the feed manufacturing process. This in turn could have profound effects on the immune responses in the gut and also on the dynamics of the microbial community in the gut of the fish.  </w:t>
      </w:r>
    </w:p>
    <w:p w:rsidR="00CC65F4" w:rsidRDefault="009F6756">
      <w:pPr>
        <w:spacing w:after="0"/>
        <w:rPr>
          <w:rFonts w:cs="Times New Roman"/>
          <w:szCs w:val="24"/>
        </w:rPr>
      </w:pPr>
      <w:r>
        <w:rPr>
          <w:rFonts w:cs="Times New Roman"/>
          <w:szCs w:val="24"/>
        </w:rPr>
        <w:tab/>
        <w:t xml:space="preserve">Lastly, it should be emphasized that the gastrointestinal system in vertebrates is a well-organized and very complicated micro-ecosystem in itself (Yang et al. 2015), and is predominantly composed of epithelial cells, the mucosal immune system, and its associated microbial community, which could either be composed of pathogenic or non-pathogenic bacteria. Any change that disrupts this balance would likely result in the alteration of gut functions, which can affect gut health and may undermine </w:t>
      </w:r>
      <w:proofErr w:type="spellStart"/>
      <w:r>
        <w:rPr>
          <w:rFonts w:cs="Times New Roman"/>
          <w:szCs w:val="24"/>
        </w:rPr>
        <w:t>thel</w:t>
      </w:r>
      <w:proofErr w:type="spellEnd"/>
      <w:r>
        <w:rPr>
          <w:rFonts w:cs="Times New Roman"/>
          <w:szCs w:val="24"/>
        </w:rPr>
        <w:t xml:space="preserve"> growth and well-being of the cultured animals. As described in the preceding section, phytogenic feed additives possess multiple functions that include antimicrobial and antioxidant activities as well as digestion- and immune-enhancing properties. It is crucial to know the specific effect and the potential target site of each phytogenic compound and to determine whether such effects will be directed towards the gut of the host or to its gut microbiota. This information is vital as this will facilitate the manner by which these phytogenic compounds are incorporated in the feed. </w:t>
      </w:r>
    </w:p>
    <w:p w:rsidR="003061AD" w:rsidRDefault="009F6756">
      <w:pPr>
        <w:spacing w:after="0"/>
        <w:rPr>
          <w:rFonts w:cs="Times New Roman"/>
          <w:szCs w:val="24"/>
        </w:rPr>
      </w:pPr>
      <w:r>
        <w:rPr>
          <w:rFonts w:cs="Times New Roman"/>
          <w:szCs w:val="24"/>
        </w:rPr>
        <w:tab/>
        <w:t xml:space="preserve">In conclusion, phytogenic feed additives are composed of a wide array of active ingredients and they constitute as one of the most promising alternatives to antibiotics in aquaculture. However, their utilization in aquaculture has been limited due to their inconsistencies on the effects on the growth and systemic immunity of the host, as well as the </w:t>
      </w:r>
      <w:r>
        <w:rPr>
          <w:rFonts w:cs="Times New Roman"/>
          <w:szCs w:val="24"/>
        </w:rPr>
        <w:lastRenderedPageBreak/>
        <w:t>lack of a thorough understanding on their modes of action especially in gut health and gut microbiota. A clearer understanding on the effects of these phytogenic feed additives to aquatic organisms should focus on these important aspects: gut physiology and immunology, gut bacterial community, and the interplay between the gut and the microbiota. Elucidation on how these factors affect one another will facilitate the optimum use of these phytogenic feed additives in achieving an economically sound and sustainable production in aquaculture. Finally, even though phytogenic feed additives are generally regarded as safe, the potential risks on their application to the cultured fish and to public health need to be carefully evaluated and monitored in the interest of food safety issues.</w:t>
      </w:r>
    </w:p>
    <w:p w:rsidR="003061AD" w:rsidRDefault="003061AD">
      <w:pPr>
        <w:spacing w:after="0"/>
        <w:rPr>
          <w:rFonts w:cs="Times New Roman"/>
          <w:szCs w:val="24"/>
        </w:rPr>
      </w:pPr>
    </w:p>
    <w:p w:rsidR="003061AD" w:rsidRPr="00331B3F" w:rsidRDefault="003061AD" w:rsidP="00331B3F">
      <w:pPr>
        <w:spacing w:after="0"/>
        <w:rPr>
          <w:rFonts w:cs="Times New Roman"/>
          <w:b/>
          <w:szCs w:val="24"/>
        </w:rPr>
      </w:pPr>
      <w:r w:rsidRPr="003061AD">
        <w:rPr>
          <w:rFonts w:cs="Times New Roman"/>
          <w:b/>
          <w:szCs w:val="24"/>
        </w:rPr>
        <w:t>Acknowledgment</w:t>
      </w:r>
      <w:r>
        <w:rPr>
          <w:rFonts w:cs="Times New Roman"/>
          <w:b/>
          <w:szCs w:val="24"/>
        </w:rPr>
        <w:t>s</w:t>
      </w:r>
    </w:p>
    <w:p w:rsidR="001E4BBB" w:rsidRPr="00331B3F" w:rsidRDefault="001E4BBB" w:rsidP="001E4BBB">
      <w:pPr>
        <w:rPr>
          <w:bCs/>
        </w:rPr>
      </w:pPr>
      <w:r w:rsidRPr="007F5055">
        <w:rPr>
          <w:b/>
          <w:bCs/>
        </w:rPr>
        <w:t>Author Contributions</w:t>
      </w:r>
      <w:r>
        <w:rPr>
          <w:b/>
          <w:bCs/>
        </w:rPr>
        <w:t xml:space="preserve"> </w:t>
      </w:r>
      <w:r w:rsidRPr="00205805">
        <w:rPr>
          <w:bCs/>
        </w:rPr>
        <w:t xml:space="preserve">(Just insert here the </w:t>
      </w:r>
      <w:proofErr w:type="spellStart"/>
      <w:r w:rsidRPr="00205805">
        <w:rPr>
          <w:bCs/>
        </w:rPr>
        <w:t>CRediT</w:t>
      </w:r>
      <w:proofErr w:type="spellEnd"/>
      <w:r w:rsidRPr="00205805">
        <w:rPr>
          <w:bCs/>
        </w:rPr>
        <w:t xml:space="preserve"> author statement you provided in the cover letter)</w:t>
      </w:r>
    </w:p>
    <w:p w:rsidR="00CC65F4" w:rsidRPr="00945347" w:rsidRDefault="001E4BBB" w:rsidP="00945347">
      <w:pPr>
        <w:rPr>
          <w:bCs/>
        </w:rPr>
      </w:pPr>
      <w:r w:rsidRPr="007F5055">
        <w:rPr>
          <w:b/>
          <w:bCs/>
        </w:rPr>
        <w:t>Conflicts of Interest</w:t>
      </w:r>
      <w:r>
        <w:rPr>
          <w:b/>
          <w:bCs/>
        </w:rPr>
        <w:t xml:space="preserve"> </w:t>
      </w:r>
      <w:r w:rsidRPr="00205805">
        <w:rPr>
          <w:bCs/>
        </w:rPr>
        <w:t>(Even if there is no conflict of interest, you still need to explicitly mention it here</w:t>
      </w:r>
      <w:r>
        <w:rPr>
          <w:bCs/>
        </w:rPr>
        <w:t>.</w:t>
      </w:r>
      <w:r w:rsidRPr="00205805">
        <w:rPr>
          <w:bCs/>
        </w:rPr>
        <w:t>)</w:t>
      </w:r>
      <w:r w:rsidR="009F6756">
        <w:rPr>
          <w:rFonts w:cs="Times New Roman"/>
          <w:b/>
          <w:szCs w:val="24"/>
        </w:rPr>
        <w:br w:type="page"/>
      </w:r>
    </w:p>
    <w:p w:rsidR="00CC65F4" w:rsidRDefault="009F6756">
      <w:pPr>
        <w:suppressLineNumbers/>
        <w:spacing w:after="0" w:line="240" w:lineRule="auto"/>
        <w:rPr>
          <w:rFonts w:cs="Times New Roman"/>
          <w:b/>
          <w:szCs w:val="24"/>
        </w:rPr>
      </w:pPr>
      <w:r>
        <w:rPr>
          <w:rFonts w:cs="Times New Roman"/>
          <w:b/>
          <w:szCs w:val="24"/>
        </w:rPr>
        <w:lastRenderedPageBreak/>
        <w:t>References</w:t>
      </w:r>
    </w:p>
    <w:p w:rsidR="00CC65F4" w:rsidRDefault="00CC65F4">
      <w:pPr>
        <w:suppressLineNumbers/>
        <w:spacing w:after="0" w:line="240" w:lineRule="auto"/>
        <w:ind w:left="785" w:hangingChars="327" w:hanging="785"/>
        <w:rPr>
          <w:rFonts w:cs="Times New Roman"/>
          <w:szCs w:val="24"/>
        </w:rPr>
      </w:pPr>
    </w:p>
    <w:p w:rsidR="009B5A22" w:rsidRPr="00405D7C" w:rsidRDefault="009B5A22" w:rsidP="009B5A22">
      <w:pPr>
        <w:suppressLineNumbers/>
        <w:spacing w:after="0" w:line="240" w:lineRule="auto"/>
        <w:ind w:left="785" w:hangingChars="327" w:hanging="785"/>
        <w:rPr>
          <w:rFonts w:cs="Times New Roman"/>
          <w:szCs w:val="24"/>
        </w:rPr>
      </w:pPr>
      <w:proofErr w:type="spellStart"/>
      <w:r w:rsidRPr="00405D7C">
        <w:rPr>
          <w:rFonts w:cs="Times New Roman"/>
          <w:szCs w:val="24"/>
        </w:rPr>
        <w:t>Asimi</w:t>
      </w:r>
      <w:proofErr w:type="spellEnd"/>
      <w:r w:rsidRPr="00405D7C">
        <w:rPr>
          <w:rFonts w:cs="Times New Roman"/>
          <w:szCs w:val="24"/>
        </w:rPr>
        <w:t xml:space="preserve"> OA, </w:t>
      </w:r>
      <w:proofErr w:type="spellStart"/>
      <w:r w:rsidRPr="00405D7C">
        <w:rPr>
          <w:rFonts w:cs="Times New Roman"/>
          <w:szCs w:val="24"/>
        </w:rPr>
        <w:t>Sahu</w:t>
      </w:r>
      <w:proofErr w:type="spellEnd"/>
      <w:r w:rsidRPr="00405D7C">
        <w:rPr>
          <w:rFonts w:cs="Times New Roman"/>
          <w:szCs w:val="24"/>
        </w:rPr>
        <w:t xml:space="preserve"> NP. 2013. Herbs/spices as feed additive in aquaculture. </w:t>
      </w:r>
      <w:proofErr w:type="spellStart"/>
      <w:r w:rsidRPr="00405D7C">
        <w:rPr>
          <w:rFonts w:cs="Times New Roman"/>
          <w:szCs w:val="24"/>
        </w:rPr>
        <w:t>Scient</w:t>
      </w:r>
      <w:proofErr w:type="spellEnd"/>
      <w:r w:rsidRPr="00405D7C">
        <w:rPr>
          <w:rFonts w:cs="Times New Roman"/>
          <w:szCs w:val="24"/>
        </w:rPr>
        <w:t xml:space="preserve"> J Pure </w:t>
      </w:r>
      <w:proofErr w:type="spellStart"/>
      <w:r w:rsidRPr="00405D7C">
        <w:rPr>
          <w:rFonts w:cs="Times New Roman"/>
          <w:szCs w:val="24"/>
        </w:rPr>
        <w:t>Appl</w:t>
      </w:r>
      <w:proofErr w:type="spellEnd"/>
      <w:r w:rsidRPr="00405D7C">
        <w:rPr>
          <w:rFonts w:cs="Times New Roman"/>
          <w:szCs w:val="24"/>
        </w:rPr>
        <w:t xml:space="preserve"> Sci. 2(8): 284-292. Available from: https://doi.org/ </w:t>
      </w:r>
      <w:hyperlink r:id="rId9" w:history="1">
        <w:r w:rsidRPr="00405D7C">
          <w:rPr>
            <w:rStyle w:val="Hyperlink"/>
            <w:rFonts w:cs="Times New Roman"/>
            <w:color w:val="auto"/>
            <w:szCs w:val="24"/>
            <w:u w:val="none"/>
            <w:bdr w:val="none" w:sz="0" w:space="0" w:color="auto" w:frame="1"/>
          </w:rPr>
          <w:t>10.14196/sjpas.v2i8.868</w:t>
        </w:r>
      </w:hyperlink>
    </w:p>
    <w:p w:rsidR="009B5A22" w:rsidRPr="00405D7C" w:rsidRDefault="009F6756" w:rsidP="009B5A22">
      <w:pPr>
        <w:suppressLineNumbers/>
        <w:spacing w:after="0" w:line="240" w:lineRule="auto"/>
        <w:ind w:left="785" w:hangingChars="327" w:hanging="785"/>
        <w:rPr>
          <w:rFonts w:cs="Times New Roman"/>
          <w:szCs w:val="24"/>
        </w:rPr>
      </w:pPr>
      <w:r w:rsidRPr="00405D7C">
        <w:rPr>
          <w:rFonts w:cs="Times New Roman"/>
          <w:szCs w:val="24"/>
        </w:rPr>
        <w:t>Austin B. 2006. The bacterial microflora of fish</w:t>
      </w:r>
      <w:r w:rsidR="009B5A22" w:rsidRPr="00405D7C">
        <w:rPr>
          <w:rFonts w:cs="Times New Roman"/>
          <w:szCs w:val="24"/>
        </w:rPr>
        <w:t>, revised</w:t>
      </w:r>
      <w:r w:rsidRPr="00405D7C">
        <w:rPr>
          <w:rFonts w:cs="Times New Roman"/>
          <w:szCs w:val="24"/>
        </w:rPr>
        <w:t xml:space="preserve">. </w:t>
      </w:r>
      <w:proofErr w:type="spellStart"/>
      <w:r w:rsidRPr="00405D7C">
        <w:rPr>
          <w:rFonts w:cs="Times New Roman"/>
          <w:szCs w:val="24"/>
        </w:rPr>
        <w:t>Scient</w:t>
      </w:r>
      <w:proofErr w:type="spellEnd"/>
      <w:r w:rsidRPr="00405D7C">
        <w:rPr>
          <w:rFonts w:cs="Times New Roman"/>
          <w:szCs w:val="24"/>
        </w:rPr>
        <w:t xml:space="preserve"> World J</w:t>
      </w:r>
      <w:r w:rsidR="009B5A22" w:rsidRPr="00405D7C">
        <w:rPr>
          <w:rFonts w:cs="Times New Roman"/>
          <w:szCs w:val="24"/>
        </w:rPr>
        <w:t>.</w:t>
      </w:r>
      <w:r w:rsidRPr="00405D7C">
        <w:rPr>
          <w:rFonts w:cs="Times New Roman"/>
          <w:szCs w:val="24"/>
        </w:rPr>
        <w:t xml:space="preserve"> 6: 931–945.</w:t>
      </w:r>
      <w:r w:rsidR="009B5A22" w:rsidRPr="00405D7C">
        <w:rPr>
          <w:rFonts w:cs="Times New Roman"/>
          <w:szCs w:val="24"/>
        </w:rPr>
        <w:t xml:space="preserve"> Available from: https://doi.org/</w:t>
      </w:r>
      <w:hyperlink r:id="rId10" w:tgtFrame="_blank" w:history="1">
        <w:r w:rsidR="009B5A22" w:rsidRPr="00405D7C">
          <w:rPr>
            <w:rStyle w:val="Hyperlink"/>
            <w:rFonts w:cs="Times New Roman"/>
            <w:color w:val="auto"/>
            <w:szCs w:val="24"/>
            <w:u w:val="none"/>
          </w:rPr>
          <w:t>10.1100/</w:t>
        </w:r>
        <w:r w:rsidR="009B5A22" w:rsidRPr="00405D7C">
          <w:rPr>
            <w:rFonts w:cs="Times New Roman"/>
            <w:szCs w:val="24"/>
            <w:shd w:val="clear" w:color="auto" w:fill="FFFFFF"/>
          </w:rPr>
          <w:t>tsw.2006.181.</w:t>
        </w:r>
      </w:hyperlink>
    </w:p>
    <w:p w:rsidR="009B5A22" w:rsidRPr="00405D7C" w:rsidRDefault="009F6756" w:rsidP="009B5A22">
      <w:pPr>
        <w:suppressLineNumbers/>
        <w:spacing w:after="0" w:line="240" w:lineRule="auto"/>
        <w:ind w:left="785" w:hangingChars="327" w:hanging="785"/>
        <w:rPr>
          <w:rFonts w:cs="Times New Roman"/>
          <w:szCs w:val="24"/>
        </w:rPr>
      </w:pPr>
      <w:proofErr w:type="spellStart"/>
      <w:r w:rsidRPr="00405D7C">
        <w:rPr>
          <w:rFonts w:cs="Times New Roman"/>
          <w:szCs w:val="24"/>
        </w:rPr>
        <w:t>Azu</w:t>
      </w:r>
      <w:proofErr w:type="spellEnd"/>
      <w:r w:rsidRPr="00405D7C">
        <w:rPr>
          <w:rFonts w:cs="Times New Roman"/>
          <w:szCs w:val="24"/>
        </w:rPr>
        <w:t xml:space="preserve"> NC, </w:t>
      </w:r>
      <w:proofErr w:type="spellStart"/>
      <w:r w:rsidRPr="00405D7C">
        <w:rPr>
          <w:rFonts w:cs="Times New Roman"/>
          <w:szCs w:val="24"/>
        </w:rPr>
        <w:t>Onyeagba</w:t>
      </w:r>
      <w:proofErr w:type="spellEnd"/>
      <w:r w:rsidRPr="00405D7C">
        <w:rPr>
          <w:rFonts w:cs="Times New Roman"/>
          <w:szCs w:val="24"/>
        </w:rPr>
        <w:t xml:space="preserve"> RA. 2007. Antimicrobial properties of extracts of </w:t>
      </w:r>
      <w:r w:rsidRPr="00405D7C">
        <w:rPr>
          <w:rFonts w:cs="Times New Roman"/>
          <w:i/>
          <w:szCs w:val="24"/>
        </w:rPr>
        <w:t xml:space="preserve">Allium </w:t>
      </w:r>
      <w:proofErr w:type="spellStart"/>
      <w:r w:rsidRPr="00405D7C">
        <w:rPr>
          <w:rFonts w:cs="Times New Roman"/>
          <w:i/>
          <w:szCs w:val="24"/>
        </w:rPr>
        <w:t>cepa</w:t>
      </w:r>
      <w:proofErr w:type="spellEnd"/>
      <w:r w:rsidRPr="00405D7C">
        <w:rPr>
          <w:rFonts w:cs="Times New Roman"/>
          <w:szCs w:val="24"/>
        </w:rPr>
        <w:t xml:space="preserve"> (onions) and </w:t>
      </w:r>
      <w:proofErr w:type="spellStart"/>
      <w:r w:rsidRPr="00405D7C">
        <w:rPr>
          <w:rFonts w:cs="Times New Roman"/>
          <w:i/>
          <w:szCs w:val="24"/>
        </w:rPr>
        <w:t>Zingiber</w:t>
      </w:r>
      <w:proofErr w:type="spellEnd"/>
      <w:r w:rsidRPr="00405D7C">
        <w:rPr>
          <w:rFonts w:cs="Times New Roman"/>
          <w:i/>
          <w:szCs w:val="24"/>
        </w:rPr>
        <w:t xml:space="preserve"> </w:t>
      </w:r>
      <w:proofErr w:type="spellStart"/>
      <w:r w:rsidRPr="00405D7C">
        <w:rPr>
          <w:rFonts w:cs="Times New Roman"/>
          <w:i/>
          <w:szCs w:val="24"/>
        </w:rPr>
        <w:t>officinale</w:t>
      </w:r>
      <w:proofErr w:type="spellEnd"/>
      <w:r w:rsidRPr="00405D7C">
        <w:rPr>
          <w:rFonts w:cs="Times New Roman"/>
          <w:szCs w:val="24"/>
        </w:rPr>
        <w:t xml:space="preserve"> (ginger) on </w:t>
      </w:r>
      <w:r w:rsidRPr="00405D7C">
        <w:rPr>
          <w:rFonts w:cs="Times New Roman"/>
          <w:i/>
          <w:szCs w:val="24"/>
        </w:rPr>
        <w:t>Escherichia coli</w:t>
      </w:r>
      <w:r w:rsidRPr="00405D7C">
        <w:rPr>
          <w:rFonts w:cs="Times New Roman"/>
          <w:szCs w:val="24"/>
        </w:rPr>
        <w:t xml:space="preserve">, </w:t>
      </w:r>
      <w:r w:rsidRPr="00405D7C">
        <w:rPr>
          <w:rFonts w:cs="Times New Roman"/>
          <w:i/>
          <w:szCs w:val="24"/>
        </w:rPr>
        <w:t xml:space="preserve">Salmonella </w:t>
      </w:r>
      <w:proofErr w:type="spellStart"/>
      <w:r w:rsidRPr="00405D7C">
        <w:rPr>
          <w:rFonts w:cs="Times New Roman"/>
          <w:i/>
          <w:szCs w:val="24"/>
        </w:rPr>
        <w:t>typhii</w:t>
      </w:r>
      <w:proofErr w:type="spellEnd"/>
      <w:r w:rsidRPr="00405D7C">
        <w:rPr>
          <w:rFonts w:cs="Times New Roman"/>
          <w:szCs w:val="24"/>
        </w:rPr>
        <w:t xml:space="preserve"> and </w:t>
      </w:r>
      <w:r w:rsidRPr="00405D7C">
        <w:rPr>
          <w:rFonts w:cs="Times New Roman"/>
          <w:i/>
          <w:szCs w:val="24"/>
        </w:rPr>
        <w:t>Bacillus subtilis</w:t>
      </w:r>
      <w:r w:rsidRPr="00405D7C">
        <w:rPr>
          <w:rFonts w:cs="Times New Roman"/>
          <w:szCs w:val="24"/>
        </w:rPr>
        <w:t>. The Internet J Trop Med</w:t>
      </w:r>
      <w:r w:rsidR="0093528D" w:rsidRPr="00405D7C">
        <w:rPr>
          <w:rFonts w:cs="Times New Roman"/>
          <w:szCs w:val="24"/>
        </w:rPr>
        <w:t>.</w:t>
      </w:r>
      <w:r w:rsidRPr="00405D7C">
        <w:rPr>
          <w:rFonts w:cs="Times New Roman"/>
          <w:szCs w:val="24"/>
        </w:rPr>
        <w:t xml:space="preserve"> 3</w:t>
      </w:r>
      <w:r w:rsidR="009B5A22" w:rsidRPr="00405D7C">
        <w:rPr>
          <w:rFonts w:cs="Times New Roman"/>
          <w:szCs w:val="24"/>
        </w:rPr>
        <w:t>(2)</w:t>
      </w:r>
      <w:r w:rsidRPr="00405D7C">
        <w:rPr>
          <w:rFonts w:cs="Times New Roman"/>
          <w:szCs w:val="24"/>
        </w:rPr>
        <w:t>: 1-8.</w:t>
      </w:r>
      <w:r w:rsidR="0093528D" w:rsidRPr="00405D7C">
        <w:rPr>
          <w:rFonts w:cs="Times New Roman"/>
          <w:szCs w:val="24"/>
        </w:rPr>
        <w:t xml:space="preserve"> Available from: https://ispub.com/IJTM/3/2/11056</w:t>
      </w:r>
    </w:p>
    <w:p w:rsidR="009B5A22" w:rsidRPr="00405D7C" w:rsidRDefault="009F6756" w:rsidP="009B5A22">
      <w:pPr>
        <w:suppressLineNumbers/>
        <w:spacing w:after="0" w:line="240" w:lineRule="auto"/>
        <w:ind w:left="785" w:hangingChars="327" w:hanging="785"/>
        <w:rPr>
          <w:rFonts w:cs="Times New Roman"/>
          <w:szCs w:val="24"/>
        </w:rPr>
      </w:pPr>
      <w:proofErr w:type="spellStart"/>
      <w:r w:rsidRPr="00405D7C">
        <w:rPr>
          <w:rFonts w:cs="Times New Roman"/>
          <w:szCs w:val="24"/>
        </w:rPr>
        <w:t>Balcázar</w:t>
      </w:r>
      <w:proofErr w:type="spellEnd"/>
      <w:r w:rsidRPr="00405D7C">
        <w:rPr>
          <w:rFonts w:cs="Times New Roman"/>
          <w:szCs w:val="24"/>
        </w:rPr>
        <w:t xml:space="preserve"> JL, de Blas I, Ruiz-Zarzuela I, Cunningham D, </w:t>
      </w:r>
      <w:proofErr w:type="spellStart"/>
      <w:r w:rsidRPr="00405D7C">
        <w:rPr>
          <w:rFonts w:cs="Times New Roman"/>
          <w:szCs w:val="24"/>
        </w:rPr>
        <w:t>Vendrell</w:t>
      </w:r>
      <w:proofErr w:type="spellEnd"/>
      <w:r w:rsidRPr="00405D7C">
        <w:rPr>
          <w:rFonts w:cs="Times New Roman"/>
          <w:szCs w:val="24"/>
        </w:rPr>
        <w:t xml:space="preserve"> D, </w:t>
      </w:r>
      <w:proofErr w:type="spellStart"/>
      <w:r w:rsidRPr="00405D7C">
        <w:rPr>
          <w:rFonts w:cs="Times New Roman"/>
          <w:szCs w:val="24"/>
        </w:rPr>
        <w:t>Muzquiz</w:t>
      </w:r>
      <w:proofErr w:type="spellEnd"/>
      <w:r w:rsidRPr="00405D7C">
        <w:rPr>
          <w:rFonts w:cs="Times New Roman"/>
          <w:szCs w:val="24"/>
        </w:rPr>
        <w:t xml:space="preserve"> JL. 2006. The role of probiotics in aquaculture. Vet </w:t>
      </w:r>
      <w:proofErr w:type="spellStart"/>
      <w:r w:rsidRPr="00405D7C">
        <w:rPr>
          <w:rFonts w:cs="Times New Roman"/>
          <w:szCs w:val="24"/>
        </w:rPr>
        <w:t>Microbiol</w:t>
      </w:r>
      <w:proofErr w:type="spellEnd"/>
      <w:r w:rsidR="0093528D" w:rsidRPr="00405D7C">
        <w:rPr>
          <w:rFonts w:cs="Times New Roman"/>
          <w:szCs w:val="24"/>
        </w:rPr>
        <w:t>.</w:t>
      </w:r>
      <w:r w:rsidRPr="00405D7C">
        <w:rPr>
          <w:rFonts w:cs="Times New Roman"/>
          <w:szCs w:val="24"/>
        </w:rPr>
        <w:t xml:space="preserve"> 114</w:t>
      </w:r>
      <w:r w:rsidR="009B5A22" w:rsidRPr="00405D7C">
        <w:rPr>
          <w:rFonts w:cs="Times New Roman"/>
          <w:szCs w:val="24"/>
        </w:rPr>
        <w:t>(3-4)</w:t>
      </w:r>
      <w:r w:rsidRPr="00405D7C">
        <w:rPr>
          <w:rFonts w:cs="Times New Roman"/>
          <w:szCs w:val="24"/>
        </w:rPr>
        <w:t>: 173–186.</w:t>
      </w:r>
      <w:r w:rsidR="009B5A22" w:rsidRPr="00405D7C">
        <w:rPr>
          <w:rFonts w:cs="Times New Roman"/>
          <w:szCs w:val="24"/>
        </w:rPr>
        <w:t xml:space="preserve"> Available from: </w:t>
      </w:r>
      <w:hyperlink r:id="rId11" w:tgtFrame="_blank" w:tooltip="Persistent link using digital object identifier" w:history="1">
        <w:r w:rsidR="009B5A22" w:rsidRPr="00405D7C">
          <w:rPr>
            <w:rStyle w:val="Hyperlink"/>
            <w:rFonts w:cs="Times New Roman"/>
            <w:color w:val="auto"/>
            <w:szCs w:val="24"/>
            <w:u w:val="none"/>
          </w:rPr>
          <w:t>https://doi.org/10.1016/j.vetmic.2006.01.009</w:t>
        </w:r>
      </w:hyperlink>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t xml:space="preserve">Barak V, </w:t>
      </w:r>
      <w:proofErr w:type="spellStart"/>
      <w:r w:rsidRPr="00405D7C">
        <w:rPr>
          <w:rFonts w:cs="Times New Roman"/>
          <w:szCs w:val="24"/>
        </w:rPr>
        <w:t>Halperin</w:t>
      </w:r>
      <w:proofErr w:type="spellEnd"/>
      <w:r w:rsidRPr="00405D7C">
        <w:rPr>
          <w:rFonts w:cs="Times New Roman"/>
          <w:szCs w:val="24"/>
        </w:rPr>
        <w:t xml:space="preserve"> T, </w:t>
      </w:r>
      <w:proofErr w:type="spellStart"/>
      <w:r w:rsidRPr="00405D7C">
        <w:rPr>
          <w:rFonts w:cs="Times New Roman"/>
          <w:szCs w:val="24"/>
        </w:rPr>
        <w:t>Kalickman</w:t>
      </w:r>
      <w:proofErr w:type="spellEnd"/>
      <w:r w:rsidRPr="00405D7C">
        <w:rPr>
          <w:rFonts w:cs="Times New Roman"/>
          <w:szCs w:val="24"/>
        </w:rPr>
        <w:t xml:space="preserve"> I. 2001. The effect of </w:t>
      </w:r>
      <w:proofErr w:type="spellStart"/>
      <w:r w:rsidRPr="00405D7C">
        <w:rPr>
          <w:rFonts w:cs="Times New Roman"/>
          <w:szCs w:val="24"/>
        </w:rPr>
        <w:t>Sambucol</w:t>
      </w:r>
      <w:proofErr w:type="spellEnd"/>
      <w:r w:rsidRPr="00405D7C">
        <w:rPr>
          <w:rFonts w:cs="Times New Roman"/>
          <w:szCs w:val="24"/>
        </w:rPr>
        <w:t xml:space="preserve">, a black elderberry-based, natural product, on the production of human cytokines: 1. inflammatory cytokines. </w:t>
      </w:r>
      <w:proofErr w:type="spellStart"/>
      <w:r w:rsidRPr="00405D7C">
        <w:rPr>
          <w:rFonts w:cs="Times New Roman"/>
          <w:szCs w:val="24"/>
        </w:rPr>
        <w:t>Eur</w:t>
      </w:r>
      <w:proofErr w:type="spellEnd"/>
      <w:r w:rsidRPr="00405D7C">
        <w:rPr>
          <w:rFonts w:cs="Times New Roman"/>
          <w:szCs w:val="24"/>
        </w:rPr>
        <w:t xml:space="preserve"> Cytokine </w:t>
      </w:r>
      <w:proofErr w:type="spellStart"/>
      <w:r w:rsidRPr="00405D7C">
        <w:rPr>
          <w:rFonts w:cs="Times New Roman"/>
          <w:szCs w:val="24"/>
        </w:rPr>
        <w:t>Netw</w:t>
      </w:r>
      <w:proofErr w:type="spellEnd"/>
      <w:r w:rsidR="0093528D" w:rsidRPr="00405D7C">
        <w:rPr>
          <w:rFonts w:cs="Times New Roman"/>
          <w:szCs w:val="24"/>
        </w:rPr>
        <w:t>.</w:t>
      </w:r>
      <w:r w:rsidRPr="00405D7C">
        <w:rPr>
          <w:rFonts w:cs="Times New Roman"/>
          <w:szCs w:val="24"/>
        </w:rPr>
        <w:t xml:space="preserve"> 12: 290–296.</w:t>
      </w:r>
    </w:p>
    <w:p w:rsidR="009B5A22" w:rsidRPr="00405D7C" w:rsidRDefault="009F6756" w:rsidP="009B5A22">
      <w:pPr>
        <w:suppressLineNumbers/>
        <w:spacing w:after="0" w:line="240" w:lineRule="auto"/>
        <w:ind w:left="785" w:hangingChars="327" w:hanging="785"/>
        <w:rPr>
          <w:rFonts w:cs="Times New Roman"/>
          <w:szCs w:val="24"/>
        </w:rPr>
      </w:pPr>
      <w:r w:rsidRPr="00405D7C">
        <w:rPr>
          <w:rFonts w:cs="Times New Roman"/>
          <w:szCs w:val="24"/>
        </w:rPr>
        <w:t xml:space="preserve">Bello OS, </w:t>
      </w:r>
      <w:proofErr w:type="spellStart"/>
      <w:r w:rsidRPr="00405D7C">
        <w:rPr>
          <w:rFonts w:cs="Times New Roman"/>
          <w:szCs w:val="24"/>
        </w:rPr>
        <w:t>E</w:t>
      </w:r>
      <w:r w:rsidR="009B5A22" w:rsidRPr="00405D7C">
        <w:rPr>
          <w:rFonts w:cs="Times New Roman"/>
          <w:szCs w:val="24"/>
        </w:rPr>
        <w:t>mikpe</w:t>
      </w:r>
      <w:proofErr w:type="spellEnd"/>
      <w:r w:rsidR="009B5A22" w:rsidRPr="00405D7C">
        <w:rPr>
          <w:rFonts w:cs="Times New Roman"/>
          <w:szCs w:val="24"/>
        </w:rPr>
        <w:t xml:space="preserve"> BO, </w:t>
      </w:r>
      <w:proofErr w:type="spellStart"/>
      <w:r w:rsidR="009B5A22" w:rsidRPr="00405D7C">
        <w:rPr>
          <w:rFonts w:cs="Times New Roman"/>
          <w:szCs w:val="24"/>
        </w:rPr>
        <w:t>Olaifa</w:t>
      </w:r>
      <w:proofErr w:type="spellEnd"/>
      <w:r w:rsidR="009B5A22" w:rsidRPr="00405D7C">
        <w:rPr>
          <w:rFonts w:cs="Times New Roman"/>
          <w:szCs w:val="24"/>
        </w:rPr>
        <w:t xml:space="preserve"> FE. 2012. The Body Weight Changes and G</w:t>
      </w:r>
      <w:r w:rsidRPr="00405D7C">
        <w:rPr>
          <w:rFonts w:cs="Times New Roman"/>
          <w:szCs w:val="24"/>
        </w:rPr>
        <w:t xml:space="preserve">ut </w:t>
      </w:r>
      <w:r w:rsidR="009B5A22" w:rsidRPr="00405D7C">
        <w:rPr>
          <w:rFonts w:cs="Times New Roman"/>
          <w:szCs w:val="24"/>
        </w:rPr>
        <w:t>M</w:t>
      </w:r>
      <w:r w:rsidRPr="00405D7C">
        <w:rPr>
          <w:rFonts w:cs="Times New Roman"/>
          <w:szCs w:val="24"/>
        </w:rPr>
        <w:t xml:space="preserve">orphometry of </w:t>
      </w:r>
      <w:proofErr w:type="spellStart"/>
      <w:r w:rsidRPr="00405D7C">
        <w:rPr>
          <w:rFonts w:cs="Times New Roman"/>
          <w:i/>
          <w:szCs w:val="24"/>
        </w:rPr>
        <w:t>Clarias</w:t>
      </w:r>
      <w:proofErr w:type="spellEnd"/>
      <w:r w:rsidRPr="00405D7C">
        <w:rPr>
          <w:rFonts w:cs="Times New Roman"/>
          <w:i/>
          <w:szCs w:val="24"/>
        </w:rPr>
        <w:t xml:space="preserve"> </w:t>
      </w:r>
      <w:proofErr w:type="spellStart"/>
      <w:r w:rsidRPr="00405D7C">
        <w:rPr>
          <w:rFonts w:cs="Times New Roman"/>
          <w:i/>
          <w:szCs w:val="24"/>
        </w:rPr>
        <w:t>gariepinus</w:t>
      </w:r>
      <w:proofErr w:type="spellEnd"/>
      <w:r w:rsidR="009B5A22" w:rsidRPr="00405D7C">
        <w:rPr>
          <w:rFonts w:cs="Times New Roman"/>
          <w:szCs w:val="24"/>
        </w:rPr>
        <w:t xml:space="preserve"> juveniles on Feeds Supplemented with W</w:t>
      </w:r>
      <w:r w:rsidRPr="00405D7C">
        <w:rPr>
          <w:rFonts w:cs="Times New Roman"/>
          <w:szCs w:val="24"/>
        </w:rPr>
        <w:t>alnut (</w:t>
      </w:r>
      <w:proofErr w:type="spellStart"/>
      <w:r w:rsidRPr="00405D7C">
        <w:rPr>
          <w:rFonts w:cs="Times New Roman"/>
          <w:i/>
          <w:szCs w:val="24"/>
        </w:rPr>
        <w:t>Tetracarpium</w:t>
      </w:r>
      <w:proofErr w:type="spellEnd"/>
      <w:r w:rsidRPr="00405D7C">
        <w:rPr>
          <w:rFonts w:cs="Times New Roman"/>
          <w:i/>
          <w:szCs w:val="24"/>
        </w:rPr>
        <w:t xml:space="preserve"> </w:t>
      </w:r>
      <w:proofErr w:type="spellStart"/>
      <w:r w:rsidRPr="00405D7C">
        <w:rPr>
          <w:rFonts w:cs="Times New Roman"/>
          <w:i/>
          <w:szCs w:val="24"/>
        </w:rPr>
        <w:t>conophorum</w:t>
      </w:r>
      <w:proofErr w:type="spellEnd"/>
      <w:r w:rsidR="009B5A22" w:rsidRPr="00405D7C">
        <w:rPr>
          <w:rFonts w:cs="Times New Roman"/>
          <w:szCs w:val="24"/>
        </w:rPr>
        <w:t>) Leaf and O</w:t>
      </w:r>
      <w:r w:rsidRPr="00405D7C">
        <w:rPr>
          <w:rFonts w:cs="Times New Roman"/>
          <w:szCs w:val="24"/>
        </w:rPr>
        <w:t>nion (</w:t>
      </w:r>
      <w:r w:rsidRPr="00405D7C">
        <w:rPr>
          <w:rFonts w:cs="Times New Roman"/>
          <w:i/>
          <w:szCs w:val="24"/>
        </w:rPr>
        <w:t xml:space="preserve">Allium </w:t>
      </w:r>
      <w:proofErr w:type="spellStart"/>
      <w:r w:rsidRPr="00405D7C">
        <w:rPr>
          <w:rFonts w:cs="Times New Roman"/>
          <w:i/>
          <w:szCs w:val="24"/>
        </w:rPr>
        <w:t>cepa</w:t>
      </w:r>
      <w:proofErr w:type="spellEnd"/>
      <w:r w:rsidR="009B5A22" w:rsidRPr="00405D7C">
        <w:rPr>
          <w:rFonts w:cs="Times New Roman"/>
          <w:szCs w:val="24"/>
        </w:rPr>
        <w:t>) Bulb R</w:t>
      </w:r>
      <w:r w:rsidRPr="00405D7C">
        <w:rPr>
          <w:rFonts w:cs="Times New Roman"/>
          <w:szCs w:val="24"/>
        </w:rPr>
        <w:t xml:space="preserve">esidues. </w:t>
      </w:r>
      <w:proofErr w:type="spellStart"/>
      <w:r w:rsidRPr="00405D7C">
        <w:rPr>
          <w:rFonts w:cs="Times New Roman"/>
          <w:szCs w:val="24"/>
        </w:rPr>
        <w:t>Int</w:t>
      </w:r>
      <w:proofErr w:type="spellEnd"/>
      <w:r w:rsidRPr="00405D7C">
        <w:rPr>
          <w:rFonts w:cs="Times New Roman"/>
          <w:szCs w:val="24"/>
        </w:rPr>
        <w:t xml:space="preserve"> J Morphology</w:t>
      </w:r>
      <w:r w:rsidR="0093528D" w:rsidRPr="00405D7C">
        <w:rPr>
          <w:rFonts w:cs="Times New Roman"/>
          <w:szCs w:val="24"/>
        </w:rPr>
        <w:t>.</w:t>
      </w:r>
      <w:r w:rsidRPr="00405D7C">
        <w:rPr>
          <w:rFonts w:cs="Times New Roman"/>
          <w:szCs w:val="24"/>
        </w:rPr>
        <w:t xml:space="preserve"> 30</w:t>
      </w:r>
      <w:r w:rsidR="009B5A22" w:rsidRPr="00405D7C">
        <w:rPr>
          <w:rFonts w:cs="Times New Roman"/>
          <w:szCs w:val="24"/>
        </w:rPr>
        <w:t>(1)</w:t>
      </w:r>
      <w:r w:rsidRPr="00405D7C">
        <w:rPr>
          <w:rFonts w:cs="Times New Roman"/>
          <w:szCs w:val="24"/>
        </w:rPr>
        <w:t>: 253-257.</w:t>
      </w:r>
      <w:r w:rsidR="009B5A22" w:rsidRPr="00405D7C">
        <w:rPr>
          <w:rFonts w:cs="Times New Roman"/>
          <w:szCs w:val="24"/>
        </w:rPr>
        <w:t xml:space="preserve"> Available from: </w:t>
      </w:r>
      <w:r w:rsidR="009B5A22" w:rsidRPr="00405D7C">
        <w:rPr>
          <w:rFonts w:eastAsia="Times New Roman" w:cs="Times New Roman"/>
          <w:szCs w:val="24"/>
        </w:rPr>
        <w:t>http://dx.doi.org/10.4067/S0717-95022012000100045</w:t>
      </w:r>
    </w:p>
    <w:p w:rsidR="009B5A22" w:rsidRPr="00405D7C" w:rsidRDefault="009F6756" w:rsidP="004B7BFE">
      <w:pPr>
        <w:suppressLineNumbers/>
        <w:spacing w:after="0" w:line="240" w:lineRule="auto"/>
        <w:ind w:left="785" w:hangingChars="327" w:hanging="785"/>
        <w:rPr>
          <w:rFonts w:cs="Times New Roman"/>
          <w:szCs w:val="24"/>
        </w:rPr>
      </w:pPr>
      <w:r w:rsidRPr="00405D7C">
        <w:rPr>
          <w:rFonts w:cs="Times New Roman"/>
          <w:szCs w:val="24"/>
        </w:rPr>
        <w:t xml:space="preserve">Bello OS, </w:t>
      </w:r>
      <w:proofErr w:type="spellStart"/>
      <w:r w:rsidRPr="00405D7C">
        <w:rPr>
          <w:rFonts w:cs="Times New Roman"/>
          <w:szCs w:val="24"/>
        </w:rPr>
        <w:t>Olaifa</w:t>
      </w:r>
      <w:proofErr w:type="spellEnd"/>
      <w:r w:rsidRPr="00405D7C">
        <w:rPr>
          <w:rFonts w:cs="Times New Roman"/>
          <w:szCs w:val="24"/>
        </w:rPr>
        <w:t xml:space="preserve"> FE, </w:t>
      </w:r>
      <w:proofErr w:type="spellStart"/>
      <w:r w:rsidRPr="00405D7C">
        <w:rPr>
          <w:rFonts w:cs="Times New Roman"/>
          <w:szCs w:val="24"/>
        </w:rPr>
        <w:t>Emikpe</w:t>
      </w:r>
      <w:proofErr w:type="spellEnd"/>
      <w:r w:rsidRPr="00405D7C">
        <w:rPr>
          <w:rFonts w:cs="Times New Roman"/>
          <w:szCs w:val="24"/>
        </w:rPr>
        <w:t xml:space="preserve"> BO, </w:t>
      </w:r>
      <w:proofErr w:type="spellStart"/>
      <w:r w:rsidRPr="00405D7C">
        <w:rPr>
          <w:rFonts w:cs="Times New Roman"/>
          <w:szCs w:val="24"/>
        </w:rPr>
        <w:t>Ogunbanwo</w:t>
      </w:r>
      <w:proofErr w:type="spellEnd"/>
      <w:r w:rsidRPr="00405D7C">
        <w:rPr>
          <w:rFonts w:cs="Times New Roman"/>
          <w:szCs w:val="24"/>
        </w:rPr>
        <w:t xml:space="preserve"> ST. 2013. Potentials of walnut (</w:t>
      </w:r>
      <w:proofErr w:type="spellStart"/>
      <w:r w:rsidRPr="00405D7C">
        <w:rPr>
          <w:rFonts w:cs="Times New Roman"/>
          <w:i/>
          <w:szCs w:val="24"/>
        </w:rPr>
        <w:t>Tetracarpium</w:t>
      </w:r>
      <w:proofErr w:type="spellEnd"/>
      <w:r w:rsidRPr="00405D7C">
        <w:rPr>
          <w:rFonts w:cs="Times New Roman"/>
          <w:i/>
          <w:szCs w:val="24"/>
        </w:rPr>
        <w:t xml:space="preserve"> </w:t>
      </w:r>
      <w:proofErr w:type="spellStart"/>
      <w:r w:rsidRPr="00405D7C">
        <w:rPr>
          <w:rFonts w:cs="Times New Roman"/>
          <w:i/>
          <w:szCs w:val="24"/>
        </w:rPr>
        <w:t>conophorum</w:t>
      </w:r>
      <w:proofErr w:type="spellEnd"/>
      <w:r w:rsidRPr="00405D7C">
        <w:rPr>
          <w:rFonts w:cs="Times New Roman"/>
          <w:szCs w:val="24"/>
        </w:rPr>
        <w:t xml:space="preserve"> Mull Arg.) leaf and onion (</w:t>
      </w:r>
      <w:r w:rsidRPr="00405D7C">
        <w:rPr>
          <w:rFonts w:cs="Times New Roman"/>
          <w:i/>
          <w:szCs w:val="24"/>
        </w:rPr>
        <w:t xml:space="preserve">Allium </w:t>
      </w:r>
      <w:proofErr w:type="spellStart"/>
      <w:r w:rsidRPr="00405D7C">
        <w:rPr>
          <w:rFonts w:cs="Times New Roman"/>
          <w:i/>
          <w:szCs w:val="24"/>
        </w:rPr>
        <w:t>cepa</w:t>
      </w:r>
      <w:proofErr w:type="spellEnd"/>
      <w:r w:rsidRPr="00405D7C">
        <w:rPr>
          <w:rFonts w:cs="Times New Roman"/>
          <w:szCs w:val="24"/>
        </w:rPr>
        <w:t xml:space="preserve"> Linn) bulb extracts as antimicrobial agents for fish. African J </w:t>
      </w:r>
      <w:proofErr w:type="spellStart"/>
      <w:r w:rsidRPr="00405D7C">
        <w:rPr>
          <w:rFonts w:cs="Times New Roman"/>
          <w:szCs w:val="24"/>
        </w:rPr>
        <w:t>Mirobiol</w:t>
      </w:r>
      <w:proofErr w:type="spellEnd"/>
      <w:r w:rsidRPr="00405D7C">
        <w:rPr>
          <w:rFonts w:cs="Times New Roman"/>
          <w:szCs w:val="24"/>
        </w:rPr>
        <w:t xml:space="preserve"> Res</w:t>
      </w:r>
      <w:r w:rsidR="0093528D" w:rsidRPr="00405D7C">
        <w:rPr>
          <w:rFonts w:cs="Times New Roman"/>
          <w:szCs w:val="24"/>
        </w:rPr>
        <w:t>.</w:t>
      </w:r>
      <w:r w:rsidRPr="00405D7C">
        <w:rPr>
          <w:rFonts w:cs="Times New Roman"/>
          <w:szCs w:val="24"/>
        </w:rPr>
        <w:t xml:space="preserve"> </w:t>
      </w:r>
      <w:r w:rsidR="009B5A22" w:rsidRPr="00405D7C">
        <w:rPr>
          <w:rFonts w:cs="Times New Roman"/>
          <w:szCs w:val="24"/>
        </w:rPr>
        <w:t>7(</w:t>
      </w:r>
      <w:r w:rsidRPr="00405D7C">
        <w:rPr>
          <w:rFonts w:cs="Times New Roman"/>
          <w:szCs w:val="24"/>
        </w:rPr>
        <w:t>19</w:t>
      </w:r>
      <w:r w:rsidR="009B5A22" w:rsidRPr="00405D7C">
        <w:rPr>
          <w:rFonts w:cs="Times New Roman"/>
          <w:szCs w:val="24"/>
        </w:rPr>
        <w:t>)</w:t>
      </w:r>
      <w:r w:rsidRPr="00405D7C">
        <w:rPr>
          <w:rFonts w:cs="Times New Roman"/>
          <w:szCs w:val="24"/>
        </w:rPr>
        <w:t>: 2027-2033.</w:t>
      </w:r>
      <w:r w:rsidR="009B5A22" w:rsidRPr="00405D7C">
        <w:rPr>
          <w:rFonts w:cs="Times New Roman"/>
          <w:szCs w:val="24"/>
        </w:rPr>
        <w:t xml:space="preserve"> Available from: </w:t>
      </w:r>
      <w:hyperlink r:id="rId12" w:tgtFrame="_blank" w:history="1">
        <w:r w:rsidR="009B5A22" w:rsidRPr="00405D7C">
          <w:rPr>
            <w:rStyle w:val="Hyperlink"/>
            <w:rFonts w:cs="Times New Roman"/>
            <w:color w:val="auto"/>
            <w:szCs w:val="24"/>
            <w:u w:val="none"/>
          </w:rPr>
          <w:t>https://doi.org/10.5897/AJMR12.814</w:t>
        </w:r>
      </w:hyperlink>
    </w:p>
    <w:p w:rsidR="004B7BFE" w:rsidRPr="00405D7C" w:rsidRDefault="009F6756" w:rsidP="004B7BFE">
      <w:pPr>
        <w:suppressLineNumbers/>
        <w:spacing w:after="0" w:line="240" w:lineRule="auto"/>
        <w:ind w:left="785" w:hangingChars="327" w:hanging="785"/>
        <w:rPr>
          <w:rFonts w:cs="Times New Roman"/>
          <w:szCs w:val="24"/>
        </w:rPr>
      </w:pPr>
      <w:r w:rsidRPr="00405D7C">
        <w:rPr>
          <w:rFonts w:cs="Times New Roman"/>
          <w:szCs w:val="24"/>
        </w:rPr>
        <w:t xml:space="preserve">Bento MHL, </w:t>
      </w:r>
      <w:proofErr w:type="spellStart"/>
      <w:r w:rsidRPr="00405D7C">
        <w:rPr>
          <w:rFonts w:cs="Times New Roman"/>
          <w:szCs w:val="24"/>
        </w:rPr>
        <w:t>Ouwehand</w:t>
      </w:r>
      <w:proofErr w:type="spellEnd"/>
      <w:r w:rsidRPr="00405D7C">
        <w:rPr>
          <w:rFonts w:cs="Times New Roman"/>
          <w:szCs w:val="24"/>
        </w:rPr>
        <w:t xml:space="preserve"> AC, </w:t>
      </w:r>
      <w:proofErr w:type="spellStart"/>
      <w:r w:rsidRPr="00405D7C">
        <w:rPr>
          <w:rFonts w:cs="Times New Roman"/>
          <w:szCs w:val="24"/>
        </w:rPr>
        <w:t>Tiihonen</w:t>
      </w:r>
      <w:proofErr w:type="spellEnd"/>
      <w:r w:rsidRPr="00405D7C">
        <w:rPr>
          <w:rFonts w:cs="Times New Roman"/>
          <w:szCs w:val="24"/>
        </w:rPr>
        <w:t xml:space="preserve"> K, </w:t>
      </w:r>
      <w:proofErr w:type="spellStart"/>
      <w:r w:rsidRPr="00405D7C">
        <w:rPr>
          <w:rFonts w:cs="Times New Roman"/>
          <w:szCs w:val="24"/>
        </w:rPr>
        <w:t>Lahtinen</w:t>
      </w:r>
      <w:proofErr w:type="spellEnd"/>
      <w:r w:rsidRPr="00405D7C">
        <w:rPr>
          <w:rFonts w:cs="Times New Roman"/>
          <w:szCs w:val="24"/>
        </w:rPr>
        <w:t xml:space="preserve"> S, </w:t>
      </w:r>
      <w:proofErr w:type="spellStart"/>
      <w:r w:rsidRPr="00405D7C">
        <w:rPr>
          <w:rFonts w:cs="Times New Roman"/>
          <w:szCs w:val="24"/>
        </w:rPr>
        <w:t>Nurminen</w:t>
      </w:r>
      <w:proofErr w:type="spellEnd"/>
      <w:r w:rsidRPr="00405D7C">
        <w:rPr>
          <w:rFonts w:cs="Times New Roman"/>
          <w:szCs w:val="24"/>
        </w:rPr>
        <w:t xml:space="preserve"> P, Saarinen MT, et al. 2013. Essential oils and their use in animal feeds for </w:t>
      </w:r>
      <w:proofErr w:type="spellStart"/>
      <w:r w:rsidRPr="00405D7C">
        <w:rPr>
          <w:rFonts w:cs="Times New Roman"/>
          <w:szCs w:val="24"/>
        </w:rPr>
        <w:t>monogastric</w:t>
      </w:r>
      <w:proofErr w:type="spellEnd"/>
      <w:r w:rsidRPr="00405D7C">
        <w:rPr>
          <w:rFonts w:cs="Times New Roman"/>
          <w:szCs w:val="24"/>
        </w:rPr>
        <w:t xml:space="preserve"> animals – effects on feed quality, gut microbiota, growth performance and food safety: a review. </w:t>
      </w:r>
      <w:proofErr w:type="spellStart"/>
      <w:r w:rsidRPr="00405D7C">
        <w:rPr>
          <w:rFonts w:cs="Times New Roman"/>
          <w:szCs w:val="24"/>
        </w:rPr>
        <w:t>Veterinarni</w:t>
      </w:r>
      <w:proofErr w:type="spellEnd"/>
      <w:r w:rsidRPr="00405D7C">
        <w:rPr>
          <w:rFonts w:cs="Times New Roman"/>
          <w:szCs w:val="24"/>
        </w:rPr>
        <w:t xml:space="preserve"> </w:t>
      </w:r>
      <w:proofErr w:type="spellStart"/>
      <w:r w:rsidRPr="00405D7C">
        <w:rPr>
          <w:rFonts w:cs="Times New Roman"/>
          <w:szCs w:val="24"/>
        </w:rPr>
        <w:t>Medicina</w:t>
      </w:r>
      <w:proofErr w:type="spellEnd"/>
      <w:r w:rsidR="0093528D" w:rsidRPr="00405D7C">
        <w:rPr>
          <w:rFonts w:cs="Times New Roman"/>
          <w:szCs w:val="24"/>
        </w:rPr>
        <w:t>.</w:t>
      </w:r>
      <w:r w:rsidRPr="00405D7C">
        <w:rPr>
          <w:rFonts w:cs="Times New Roman"/>
          <w:szCs w:val="24"/>
        </w:rPr>
        <w:t xml:space="preserve"> 58</w:t>
      </w:r>
      <w:r w:rsidR="004B7BFE" w:rsidRPr="00405D7C">
        <w:rPr>
          <w:rFonts w:cs="Times New Roman"/>
          <w:szCs w:val="24"/>
        </w:rPr>
        <w:t>(9)</w:t>
      </w:r>
      <w:r w:rsidRPr="00405D7C">
        <w:rPr>
          <w:rFonts w:cs="Times New Roman"/>
          <w:szCs w:val="24"/>
        </w:rPr>
        <w:t>: 449–458.</w:t>
      </w:r>
      <w:r w:rsidR="004B7BFE" w:rsidRPr="00405D7C">
        <w:rPr>
          <w:rFonts w:cs="Times New Roman"/>
          <w:szCs w:val="24"/>
        </w:rPr>
        <w:t xml:space="preserve"> Available from: </w:t>
      </w:r>
      <w:hyperlink r:id="rId13" w:history="1">
        <w:r w:rsidR="004B7BFE" w:rsidRPr="00405D7C">
          <w:rPr>
            <w:rStyle w:val="Hyperlink"/>
            <w:rFonts w:cs="Times New Roman"/>
            <w:color w:val="auto"/>
            <w:szCs w:val="24"/>
            <w:u w:val="none"/>
          </w:rPr>
          <w:t>https://doi.org/10.17221/7029-VETMED</w:t>
        </w:r>
      </w:hyperlink>
    </w:p>
    <w:p w:rsidR="004B7BFE" w:rsidRPr="00405D7C" w:rsidRDefault="009F6756" w:rsidP="004B7BFE">
      <w:pPr>
        <w:suppressLineNumbers/>
        <w:spacing w:after="0" w:line="240" w:lineRule="auto"/>
        <w:ind w:left="785" w:hangingChars="327" w:hanging="785"/>
        <w:rPr>
          <w:rFonts w:cs="Times New Roman"/>
          <w:szCs w:val="24"/>
        </w:rPr>
      </w:pPr>
      <w:r w:rsidRPr="00405D7C">
        <w:rPr>
          <w:rFonts w:cs="Times New Roman"/>
          <w:szCs w:val="24"/>
        </w:rPr>
        <w:t>Bischoff   SC. 2011. Gut   health:    A    new    objective    in    medicine?    B</w:t>
      </w:r>
      <w:r w:rsidR="0093528D" w:rsidRPr="00405D7C">
        <w:rPr>
          <w:rFonts w:cs="Times New Roman"/>
          <w:szCs w:val="24"/>
        </w:rPr>
        <w:t>MC    Medicine.</w:t>
      </w:r>
      <w:r w:rsidRPr="00405D7C">
        <w:rPr>
          <w:rFonts w:cs="Times New Roman"/>
          <w:szCs w:val="24"/>
        </w:rPr>
        <w:t xml:space="preserve"> 9</w:t>
      </w:r>
      <w:r w:rsidR="004B7BFE" w:rsidRPr="00405D7C">
        <w:rPr>
          <w:rFonts w:cs="Times New Roman"/>
          <w:szCs w:val="24"/>
        </w:rPr>
        <w:t>:24</w:t>
      </w:r>
      <w:r w:rsidRPr="00405D7C">
        <w:rPr>
          <w:rFonts w:cs="Times New Roman"/>
          <w:szCs w:val="24"/>
        </w:rPr>
        <w:t>.</w:t>
      </w:r>
      <w:r w:rsidR="004B7BFE" w:rsidRPr="00405D7C">
        <w:rPr>
          <w:rFonts w:cs="Times New Roman"/>
          <w:szCs w:val="24"/>
        </w:rPr>
        <w:t xml:space="preserve"> Available from: </w:t>
      </w:r>
      <w:hyperlink r:id="rId14" w:history="1">
        <w:r w:rsidR="004B7BFE" w:rsidRPr="00405D7C">
          <w:rPr>
            <w:rStyle w:val="Hyperlink"/>
            <w:rFonts w:cs="Times New Roman"/>
            <w:color w:val="auto"/>
            <w:szCs w:val="24"/>
            <w:u w:val="none"/>
            <w:shd w:val="clear" w:color="auto" w:fill="FFFFFF"/>
          </w:rPr>
          <w:t>https://doi.org/10.1186/1741-7015-9-24</w:t>
        </w:r>
      </w:hyperlink>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t xml:space="preserve">Blumenthal M, </w:t>
      </w:r>
      <w:proofErr w:type="spellStart"/>
      <w:r w:rsidRPr="00405D7C">
        <w:rPr>
          <w:rFonts w:cs="Times New Roman"/>
          <w:szCs w:val="24"/>
        </w:rPr>
        <w:t>Godlberg</w:t>
      </w:r>
      <w:proofErr w:type="spellEnd"/>
      <w:r w:rsidRPr="00405D7C">
        <w:rPr>
          <w:rFonts w:cs="Times New Roman"/>
          <w:szCs w:val="24"/>
        </w:rPr>
        <w:t xml:space="preserve"> A, </w:t>
      </w:r>
      <w:proofErr w:type="spellStart"/>
      <w:r w:rsidRPr="00405D7C">
        <w:rPr>
          <w:rFonts w:cs="Times New Roman"/>
          <w:szCs w:val="24"/>
        </w:rPr>
        <w:t>Brinckann</w:t>
      </w:r>
      <w:proofErr w:type="spellEnd"/>
      <w:r w:rsidRPr="00405D7C">
        <w:rPr>
          <w:rFonts w:cs="Times New Roman"/>
          <w:szCs w:val="24"/>
        </w:rPr>
        <w:t xml:space="preserve"> J. 2000. Herbal Medicine: Expanded Commission E Monographs. </w:t>
      </w:r>
      <w:proofErr w:type="spellStart"/>
      <w:r w:rsidRPr="00405D7C">
        <w:rPr>
          <w:rFonts w:cs="Times New Roman"/>
          <w:szCs w:val="24"/>
        </w:rPr>
        <w:t>Americal</w:t>
      </w:r>
      <w:proofErr w:type="spellEnd"/>
      <w:r w:rsidRPr="00405D7C">
        <w:rPr>
          <w:rFonts w:cs="Times New Roman"/>
          <w:szCs w:val="24"/>
        </w:rPr>
        <w:t xml:space="preserve"> Botanical Council: Integrative Medicine Communications, Newton, MA, USA. pp. 401-403.</w:t>
      </w:r>
    </w:p>
    <w:p w:rsidR="004B7BFE" w:rsidRPr="00405D7C" w:rsidRDefault="009F6756" w:rsidP="004B7BFE">
      <w:pPr>
        <w:suppressLineNumbers/>
        <w:spacing w:after="0" w:line="240" w:lineRule="auto"/>
        <w:ind w:left="785" w:hangingChars="327" w:hanging="785"/>
        <w:rPr>
          <w:rFonts w:cs="Times New Roman"/>
          <w:szCs w:val="24"/>
        </w:rPr>
      </w:pPr>
      <w:proofErr w:type="spellStart"/>
      <w:r w:rsidRPr="00405D7C">
        <w:rPr>
          <w:rFonts w:cs="Times New Roman"/>
          <w:szCs w:val="24"/>
        </w:rPr>
        <w:t>Bondad-Reantaso</w:t>
      </w:r>
      <w:proofErr w:type="spellEnd"/>
      <w:r w:rsidRPr="00405D7C">
        <w:rPr>
          <w:rFonts w:cs="Times New Roman"/>
          <w:szCs w:val="24"/>
        </w:rPr>
        <w:t xml:space="preserve"> MG, </w:t>
      </w:r>
      <w:proofErr w:type="spellStart"/>
      <w:r w:rsidRPr="00405D7C">
        <w:rPr>
          <w:rFonts w:cs="Times New Roman"/>
          <w:szCs w:val="24"/>
        </w:rPr>
        <w:t>Subasinghe</w:t>
      </w:r>
      <w:proofErr w:type="spellEnd"/>
      <w:r w:rsidRPr="00405D7C">
        <w:rPr>
          <w:rFonts w:cs="Times New Roman"/>
          <w:szCs w:val="24"/>
        </w:rPr>
        <w:t xml:space="preserve"> RP, Arthur JR, Ogawa K, </w:t>
      </w:r>
      <w:proofErr w:type="spellStart"/>
      <w:r w:rsidRPr="00405D7C">
        <w:rPr>
          <w:rFonts w:cs="Times New Roman"/>
          <w:szCs w:val="24"/>
        </w:rPr>
        <w:t>Chinabut</w:t>
      </w:r>
      <w:proofErr w:type="spellEnd"/>
      <w:r w:rsidRPr="00405D7C">
        <w:rPr>
          <w:rFonts w:cs="Times New Roman"/>
          <w:szCs w:val="24"/>
        </w:rPr>
        <w:t xml:space="preserve"> S, </w:t>
      </w:r>
      <w:proofErr w:type="spellStart"/>
      <w:r w:rsidRPr="00405D7C">
        <w:rPr>
          <w:rFonts w:cs="Times New Roman"/>
          <w:szCs w:val="24"/>
        </w:rPr>
        <w:t>Adlard</w:t>
      </w:r>
      <w:proofErr w:type="spellEnd"/>
      <w:r w:rsidRPr="00405D7C">
        <w:rPr>
          <w:rFonts w:cs="Times New Roman"/>
          <w:szCs w:val="24"/>
        </w:rPr>
        <w:t xml:space="preserve"> R, Tan Z, </w:t>
      </w:r>
      <w:proofErr w:type="spellStart"/>
      <w:r w:rsidRPr="00405D7C">
        <w:rPr>
          <w:rFonts w:cs="Times New Roman"/>
          <w:szCs w:val="24"/>
        </w:rPr>
        <w:t>Shariff</w:t>
      </w:r>
      <w:proofErr w:type="spellEnd"/>
      <w:r w:rsidRPr="00405D7C">
        <w:rPr>
          <w:rFonts w:cs="Times New Roman"/>
          <w:szCs w:val="24"/>
        </w:rPr>
        <w:t xml:space="preserve"> M. 2005. Disease and health management in Asian aquaculture. Vet </w:t>
      </w:r>
      <w:proofErr w:type="spellStart"/>
      <w:r w:rsidRPr="00405D7C">
        <w:rPr>
          <w:rFonts w:cs="Times New Roman"/>
          <w:szCs w:val="24"/>
        </w:rPr>
        <w:t>Parasitol</w:t>
      </w:r>
      <w:proofErr w:type="spellEnd"/>
      <w:r w:rsidR="004B7BFE" w:rsidRPr="00405D7C">
        <w:rPr>
          <w:rFonts w:cs="Times New Roman"/>
          <w:szCs w:val="24"/>
        </w:rPr>
        <w:t>.</w:t>
      </w:r>
      <w:r w:rsidRPr="00405D7C">
        <w:rPr>
          <w:rFonts w:cs="Times New Roman"/>
          <w:szCs w:val="24"/>
        </w:rPr>
        <w:t xml:space="preserve"> 132</w:t>
      </w:r>
      <w:r w:rsidR="004B7BFE" w:rsidRPr="00405D7C">
        <w:rPr>
          <w:rFonts w:cs="Times New Roman"/>
          <w:szCs w:val="24"/>
        </w:rPr>
        <w:t>(3-4)</w:t>
      </w:r>
      <w:r w:rsidRPr="00405D7C">
        <w:rPr>
          <w:rFonts w:cs="Times New Roman"/>
          <w:szCs w:val="24"/>
        </w:rPr>
        <w:t>: 249-272.</w:t>
      </w:r>
      <w:r w:rsidR="004B7BFE" w:rsidRPr="00405D7C">
        <w:rPr>
          <w:rFonts w:cs="Times New Roman"/>
          <w:szCs w:val="24"/>
        </w:rPr>
        <w:t xml:space="preserve"> Available from: </w:t>
      </w:r>
      <w:hyperlink r:id="rId15" w:tgtFrame="_blank" w:tooltip="Persistent link using digital object identifier" w:history="1">
        <w:r w:rsidR="004B7BFE" w:rsidRPr="00405D7C">
          <w:rPr>
            <w:rStyle w:val="Hyperlink"/>
            <w:rFonts w:cs="Times New Roman"/>
            <w:color w:val="auto"/>
            <w:szCs w:val="24"/>
            <w:u w:val="none"/>
          </w:rPr>
          <w:t>https://doi.org/10.1016/j.vetpar.2005.07.005</w:t>
        </w:r>
      </w:hyperlink>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Ceulemans</w:t>
      </w:r>
      <w:proofErr w:type="spellEnd"/>
      <w:r w:rsidRPr="00405D7C">
        <w:rPr>
          <w:rFonts w:cs="Times New Roman"/>
          <w:szCs w:val="24"/>
        </w:rPr>
        <w:t xml:space="preserve"> S, Robles R, </w:t>
      </w:r>
      <w:proofErr w:type="spellStart"/>
      <w:r w:rsidRPr="00405D7C">
        <w:rPr>
          <w:rFonts w:cs="Times New Roman"/>
          <w:szCs w:val="24"/>
        </w:rPr>
        <w:t>Coutteau</w:t>
      </w:r>
      <w:proofErr w:type="spellEnd"/>
      <w:r w:rsidRPr="00405D7C">
        <w:rPr>
          <w:rFonts w:cs="Times New Roman"/>
          <w:szCs w:val="24"/>
        </w:rPr>
        <w:t xml:space="preserve"> P. 2009. Innovative Feed Additives Improve Feed Utilization In Nile Tilapia, Global Aquaculture Advocate. November/December 2009.</w:t>
      </w:r>
    </w:p>
    <w:p w:rsidR="004B7BFE" w:rsidRPr="00405D7C" w:rsidRDefault="009F6756" w:rsidP="004B7BFE">
      <w:pPr>
        <w:suppressLineNumbers/>
        <w:spacing w:after="0" w:line="240" w:lineRule="auto"/>
        <w:ind w:left="785" w:hangingChars="327" w:hanging="785"/>
        <w:rPr>
          <w:rFonts w:cs="Times New Roman"/>
          <w:szCs w:val="24"/>
        </w:rPr>
      </w:pPr>
      <w:r w:rsidRPr="00405D7C">
        <w:rPr>
          <w:rFonts w:cs="Times New Roman"/>
          <w:szCs w:val="24"/>
        </w:rPr>
        <w:t xml:space="preserve">Chakraborty SB, </w:t>
      </w:r>
      <w:proofErr w:type="spellStart"/>
      <w:r w:rsidRPr="00405D7C">
        <w:rPr>
          <w:rFonts w:cs="Times New Roman"/>
          <w:szCs w:val="24"/>
        </w:rPr>
        <w:t>Hancz</w:t>
      </w:r>
      <w:proofErr w:type="spellEnd"/>
      <w:r w:rsidRPr="00405D7C">
        <w:rPr>
          <w:rFonts w:cs="Times New Roman"/>
          <w:szCs w:val="24"/>
        </w:rPr>
        <w:t xml:space="preserve"> C. 2011. Application of phytochemicals as </w:t>
      </w:r>
      <w:proofErr w:type="spellStart"/>
      <w:r w:rsidRPr="00405D7C">
        <w:rPr>
          <w:rFonts w:cs="Times New Roman"/>
          <w:szCs w:val="24"/>
        </w:rPr>
        <w:t>immunostimulant</w:t>
      </w:r>
      <w:proofErr w:type="spellEnd"/>
      <w:r w:rsidRPr="00405D7C">
        <w:rPr>
          <w:rFonts w:cs="Times New Roman"/>
          <w:szCs w:val="24"/>
        </w:rPr>
        <w:t xml:space="preserve">, </w:t>
      </w:r>
      <w:proofErr w:type="spellStart"/>
      <w:r w:rsidRPr="00405D7C">
        <w:rPr>
          <w:rFonts w:cs="Times New Roman"/>
          <w:szCs w:val="24"/>
        </w:rPr>
        <w:t>antipathogenic</w:t>
      </w:r>
      <w:proofErr w:type="spellEnd"/>
      <w:r w:rsidRPr="00405D7C">
        <w:rPr>
          <w:rFonts w:cs="Times New Roman"/>
          <w:szCs w:val="24"/>
        </w:rPr>
        <w:t xml:space="preserve"> and </w:t>
      </w:r>
      <w:proofErr w:type="spellStart"/>
      <w:r w:rsidRPr="00405D7C">
        <w:rPr>
          <w:rFonts w:cs="Times New Roman"/>
          <w:szCs w:val="24"/>
        </w:rPr>
        <w:t>antistress</w:t>
      </w:r>
      <w:proofErr w:type="spellEnd"/>
      <w:r w:rsidRPr="00405D7C">
        <w:rPr>
          <w:rFonts w:cs="Times New Roman"/>
          <w:szCs w:val="24"/>
        </w:rPr>
        <w:t xml:space="preserve"> agents in finfish culture. Rev Aqua</w:t>
      </w:r>
      <w:r w:rsidR="0093528D" w:rsidRPr="00405D7C">
        <w:rPr>
          <w:rFonts w:cs="Times New Roman"/>
          <w:szCs w:val="24"/>
        </w:rPr>
        <w:t>.</w:t>
      </w:r>
      <w:r w:rsidRPr="00405D7C">
        <w:rPr>
          <w:rFonts w:cs="Times New Roman"/>
          <w:szCs w:val="24"/>
        </w:rPr>
        <w:t xml:space="preserve"> 3</w:t>
      </w:r>
      <w:r w:rsidR="004B7BFE" w:rsidRPr="00405D7C">
        <w:rPr>
          <w:rFonts w:cs="Times New Roman"/>
          <w:szCs w:val="24"/>
        </w:rPr>
        <w:t>(3)</w:t>
      </w:r>
      <w:r w:rsidRPr="00405D7C">
        <w:rPr>
          <w:rFonts w:cs="Times New Roman"/>
          <w:szCs w:val="24"/>
        </w:rPr>
        <w:t>: 103-119.</w:t>
      </w:r>
      <w:r w:rsidR="004B7BFE" w:rsidRPr="00405D7C">
        <w:rPr>
          <w:rFonts w:cs="Times New Roman"/>
          <w:szCs w:val="24"/>
        </w:rPr>
        <w:t xml:space="preserve"> Available from: https://doi.org/10.1111/j.1753-5131.2011.01048.x</w:t>
      </w:r>
    </w:p>
    <w:p w:rsidR="004B7BFE" w:rsidRPr="00405D7C" w:rsidRDefault="009F6756" w:rsidP="004B7BFE">
      <w:pPr>
        <w:suppressLineNumbers/>
        <w:spacing w:after="0" w:line="240" w:lineRule="auto"/>
        <w:ind w:left="785" w:hangingChars="327" w:hanging="785"/>
        <w:rPr>
          <w:rFonts w:cs="Times New Roman"/>
          <w:szCs w:val="24"/>
        </w:rPr>
      </w:pPr>
      <w:r w:rsidRPr="00405D7C">
        <w:rPr>
          <w:rFonts w:cs="Times New Roman"/>
          <w:szCs w:val="24"/>
        </w:rPr>
        <w:t xml:space="preserve">Chang CP, Chang JY, Wang FY, Change JG. 1995. The effect of Chinese medicinal herb </w:t>
      </w:r>
      <w:proofErr w:type="spellStart"/>
      <w:r w:rsidRPr="00405D7C">
        <w:rPr>
          <w:rFonts w:cs="Times New Roman"/>
          <w:szCs w:val="24"/>
        </w:rPr>
        <w:t>Zingiberis</w:t>
      </w:r>
      <w:proofErr w:type="spellEnd"/>
      <w:r w:rsidRPr="00405D7C">
        <w:rPr>
          <w:rFonts w:cs="Times New Roman"/>
          <w:szCs w:val="24"/>
        </w:rPr>
        <w:t xml:space="preserve"> </w:t>
      </w:r>
      <w:proofErr w:type="spellStart"/>
      <w:r w:rsidRPr="00405D7C">
        <w:rPr>
          <w:rFonts w:cs="Times New Roman"/>
          <w:szCs w:val="24"/>
        </w:rPr>
        <w:t>rhizoma</w:t>
      </w:r>
      <w:proofErr w:type="spellEnd"/>
      <w:r w:rsidRPr="00405D7C">
        <w:rPr>
          <w:rFonts w:cs="Times New Roman"/>
          <w:szCs w:val="24"/>
        </w:rPr>
        <w:t xml:space="preserve"> extract on cytokine secretion by human peripheral blood mononu</w:t>
      </w:r>
      <w:r w:rsidR="004B7BFE" w:rsidRPr="00405D7C">
        <w:rPr>
          <w:rFonts w:cs="Times New Roman"/>
          <w:szCs w:val="24"/>
        </w:rPr>
        <w:t xml:space="preserve">clear cells. J </w:t>
      </w:r>
      <w:proofErr w:type="spellStart"/>
      <w:r w:rsidR="004B7BFE" w:rsidRPr="00405D7C">
        <w:rPr>
          <w:rFonts w:cs="Times New Roman"/>
          <w:szCs w:val="24"/>
        </w:rPr>
        <w:t>Ethnopharmacol</w:t>
      </w:r>
      <w:proofErr w:type="spellEnd"/>
      <w:r w:rsidR="004B7BFE" w:rsidRPr="00405D7C">
        <w:rPr>
          <w:rFonts w:cs="Times New Roman"/>
          <w:szCs w:val="24"/>
        </w:rPr>
        <w:t>. 48(1)</w:t>
      </w:r>
      <w:r w:rsidRPr="00405D7C">
        <w:rPr>
          <w:rFonts w:cs="Times New Roman"/>
          <w:szCs w:val="24"/>
        </w:rPr>
        <w:t>: 13–19.</w:t>
      </w:r>
      <w:r w:rsidR="004B7BFE" w:rsidRPr="00405D7C">
        <w:rPr>
          <w:rFonts w:cs="Times New Roman"/>
          <w:szCs w:val="24"/>
        </w:rPr>
        <w:t xml:space="preserve"> Available from: </w:t>
      </w:r>
      <w:hyperlink r:id="rId16" w:tgtFrame="_blank" w:tooltip="Persistent link using digital object identifier" w:history="1">
        <w:r w:rsidR="004B7BFE" w:rsidRPr="00405D7C">
          <w:rPr>
            <w:rStyle w:val="Hyperlink"/>
            <w:rFonts w:cs="Times New Roman"/>
            <w:color w:val="auto"/>
            <w:szCs w:val="24"/>
            <w:u w:val="none"/>
          </w:rPr>
          <w:t>https://doi.org/10.1016/0378-8741(95)01275-I</w:t>
        </w:r>
      </w:hyperlink>
    </w:p>
    <w:p w:rsidR="004B7BFE" w:rsidRPr="00405D7C" w:rsidRDefault="009F6756" w:rsidP="004B7BFE">
      <w:pPr>
        <w:suppressLineNumbers/>
        <w:spacing w:after="0" w:line="240" w:lineRule="auto"/>
        <w:ind w:left="785" w:hangingChars="327" w:hanging="785"/>
        <w:rPr>
          <w:rFonts w:cs="Times New Roman"/>
          <w:szCs w:val="24"/>
        </w:rPr>
      </w:pPr>
      <w:proofErr w:type="spellStart"/>
      <w:r w:rsidRPr="00405D7C">
        <w:rPr>
          <w:rFonts w:cs="Times New Roman"/>
          <w:szCs w:val="24"/>
        </w:rPr>
        <w:t>Chesson</w:t>
      </w:r>
      <w:proofErr w:type="spellEnd"/>
      <w:r w:rsidRPr="00405D7C">
        <w:rPr>
          <w:rFonts w:cs="Times New Roman"/>
          <w:szCs w:val="24"/>
        </w:rPr>
        <w:t xml:space="preserve"> A. 1987. Supplementary enzymes to improve the utilization of pig and poultry diets. In Recent Advances</w:t>
      </w:r>
      <w:r w:rsidR="004B7BFE" w:rsidRPr="00405D7C">
        <w:rPr>
          <w:rFonts w:cs="Times New Roman"/>
          <w:szCs w:val="24"/>
        </w:rPr>
        <w:t xml:space="preserve"> in Animal Nutrition; </w:t>
      </w:r>
      <w:proofErr w:type="spellStart"/>
      <w:r w:rsidR="004B7BFE" w:rsidRPr="00405D7C">
        <w:rPr>
          <w:rFonts w:cs="Times New Roman"/>
          <w:szCs w:val="24"/>
        </w:rPr>
        <w:t>Haresign</w:t>
      </w:r>
      <w:proofErr w:type="spellEnd"/>
      <w:r w:rsidR="004B7BFE" w:rsidRPr="00405D7C">
        <w:rPr>
          <w:rFonts w:cs="Times New Roman"/>
          <w:szCs w:val="24"/>
        </w:rPr>
        <w:t xml:space="preserve"> W, Cole DJA, editors.</w:t>
      </w:r>
      <w:r w:rsidRPr="00405D7C">
        <w:rPr>
          <w:rFonts w:cs="Times New Roman"/>
          <w:szCs w:val="24"/>
        </w:rPr>
        <w:t xml:space="preserve"> Butterworths: London, U.K.</w:t>
      </w:r>
      <w:r w:rsidR="004B7BFE" w:rsidRPr="00405D7C">
        <w:rPr>
          <w:rFonts w:cs="Times New Roman"/>
          <w:szCs w:val="24"/>
        </w:rPr>
        <w:t xml:space="preserve"> Available from: </w:t>
      </w:r>
      <w:hyperlink r:id="rId17" w:tgtFrame="_blank" w:tooltip="Persistent link using digital object identifier" w:history="1">
        <w:r w:rsidR="004B7BFE" w:rsidRPr="00405D7C">
          <w:rPr>
            <w:rStyle w:val="Hyperlink"/>
            <w:rFonts w:cs="Times New Roman"/>
            <w:color w:val="auto"/>
            <w:szCs w:val="24"/>
            <w:u w:val="none"/>
          </w:rPr>
          <w:t>https://doi.org/10.1016/B978-0-407-01163-2.50010-2</w:t>
        </w:r>
      </w:hyperlink>
    </w:p>
    <w:p w:rsidR="004B7BFE" w:rsidRPr="00405D7C" w:rsidRDefault="009F6756" w:rsidP="004B7BFE">
      <w:pPr>
        <w:suppressLineNumbers/>
        <w:spacing w:after="0" w:line="240" w:lineRule="auto"/>
        <w:ind w:left="785" w:hangingChars="327" w:hanging="785"/>
        <w:rPr>
          <w:rFonts w:cs="Times New Roman"/>
          <w:szCs w:val="24"/>
        </w:rPr>
      </w:pPr>
      <w:proofErr w:type="spellStart"/>
      <w:r w:rsidRPr="00405D7C">
        <w:rPr>
          <w:rFonts w:cs="Times New Roman"/>
          <w:szCs w:val="24"/>
        </w:rPr>
        <w:lastRenderedPageBreak/>
        <w:t>Citarasu</w:t>
      </w:r>
      <w:proofErr w:type="spellEnd"/>
      <w:r w:rsidRPr="00405D7C">
        <w:rPr>
          <w:rFonts w:cs="Times New Roman"/>
          <w:szCs w:val="24"/>
        </w:rPr>
        <w:t xml:space="preserve"> T. 2010. Herbal biomedicines: a new opportunity for aquaculture industry. </w:t>
      </w:r>
      <w:proofErr w:type="spellStart"/>
      <w:r w:rsidRPr="00405D7C">
        <w:rPr>
          <w:rFonts w:cs="Times New Roman"/>
          <w:szCs w:val="24"/>
        </w:rPr>
        <w:t>Aquacult</w:t>
      </w:r>
      <w:proofErr w:type="spellEnd"/>
      <w:r w:rsidRPr="00405D7C">
        <w:rPr>
          <w:rFonts w:cs="Times New Roman"/>
          <w:szCs w:val="24"/>
        </w:rPr>
        <w:t xml:space="preserve"> Int</w:t>
      </w:r>
      <w:r w:rsidR="004B7BFE" w:rsidRPr="00405D7C">
        <w:rPr>
          <w:rFonts w:cs="Times New Roman"/>
          <w:szCs w:val="24"/>
        </w:rPr>
        <w:t>.</w:t>
      </w:r>
      <w:r w:rsidRPr="00405D7C">
        <w:rPr>
          <w:rFonts w:cs="Times New Roman"/>
          <w:szCs w:val="24"/>
        </w:rPr>
        <w:t xml:space="preserve"> 18</w:t>
      </w:r>
      <w:r w:rsidR="004B7BFE" w:rsidRPr="00405D7C">
        <w:rPr>
          <w:rFonts w:cs="Times New Roman"/>
          <w:szCs w:val="24"/>
        </w:rPr>
        <w:t>(3)</w:t>
      </w:r>
      <w:r w:rsidRPr="00405D7C">
        <w:rPr>
          <w:rFonts w:cs="Times New Roman"/>
          <w:szCs w:val="24"/>
        </w:rPr>
        <w:t>: 403–414.</w:t>
      </w:r>
      <w:r w:rsidR="004B7BFE" w:rsidRPr="00405D7C">
        <w:rPr>
          <w:rFonts w:cs="Times New Roman"/>
          <w:szCs w:val="24"/>
        </w:rPr>
        <w:t xml:space="preserve"> Available from: </w:t>
      </w:r>
      <w:hyperlink r:id="rId18" w:history="1">
        <w:r w:rsidR="004B7BFE" w:rsidRPr="00405D7C">
          <w:rPr>
            <w:rStyle w:val="Hyperlink"/>
            <w:rFonts w:cs="Times New Roman"/>
            <w:color w:val="auto"/>
            <w:szCs w:val="24"/>
            <w:u w:val="none"/>
            <w:shd w:val="clear" w:color="auto" w:fill="FCFCFC"/>
          </w:rPr>
          <w:t>https://doi.org/10.1007/s10499-009-9253-7</w:t>
        </w:r>
      </w:hyperlink>
    </w:p>
    <w:p w:rsidR="0093528D" w:rsidRPr="00405D7C" w:rsidRDefault="009F6756" w:rsidP="0093528D">
      <w:pPr>
        <w:suppressLineNumbers/>
        <w:spacing w:after="0" w:line="240" w:lineRule="auto"/>
        <w:ind w:left="785" w:hangingChars="327" w:hanging="785"/>
        <w:rPr>
          <w:rFonts w:cs="Times New Roman"/>
          <w:szCs w:val="24"/>
        </w:rPr>
      </w:pPr>
      <w:r w:rsidRPr="00405D7C">
        <w:rPr>
          <w:rFonts w:cs="Times New Roman"/>
          <w:szCs w:val="24"/>
        </w:rPr>
        <w:t xml:space="preserve">Cummings JH, Antoine JM, </w:t>
      </w:r>
      <w:proofErr w:type="spellStart"/>
      <w:r w:rsidRPr="00405D7C">
        <w:rPr>
          <w:rFonts w:cs="Times New Roman"/>
          <w:szCs w:val="24"/>
        </w:rPr>
        <w:t>Azpiroz</w:t>
      </w:r>
      <w:proofErr w:type="spellEnd"/>
      <w:r w:rsidRPr="00405D7C">
        <w:rPr>
          <w:rFonts w:cs="Times New Roman"/>
          <w:szCs w:val="24"/>
        </w:rPr>
        <w:t xml:space="preserve"> F, </w:t>
      </w:r>
      <w:proofErr w:type="spellStart"/>
      <w:r w:rsidRPr="00405D7C">
        <w:rPr>
          <w:rFonts w:cs="Times New Roman"/>
          <w:szCs w:val="24"/>
        </w:rPr>
        <w:t>Bourdet-Sicard</w:t>
      </w:r>
      <w:proofErr w:type="spellEnd"/>
      <w:r w:rsidRPr="00405D7C">
        <w:rPr>
          <w:rFonts w:cs="Times New Roman"/>
          <w:szCs w:val="24"/>
        </w:rPr>
        <w:t xml:space="preserve"> R, </w:t>
      </w:r>
      <w:proofErr w:type="spellStart"/>
      <w:r w:rsidRPr="00405D7C">
        <w:rPr>
          <w:rFonts w:cs="Times New Roman"/>
          <w:szCs w:val="24"/>
        </w:rPr>
        <w:t>Brandtzaeg</w:t>
      </w:r>
      <w:proofErr w:type="spellEnd"/>
      <w:r w:rsidRPr="00405D7C">
        <w:rPr>
          <w:rFonts w:cs="Times New Roman"/>
          <w:szCs w:val="24"/>
        </w:rPr>
        <w:t xml:space="preserve"> P, et al. 2004. PASSCLAIM-gut health and immunity. </w:t>
      </w:r>
      <w:proofErr w:type="spellStart"/>
      <w:r w:rsidRPr="00405D7C">
        <w:rPr>
          <w:rFonts w:cs="Times New Roman"/>
          <w:szCs w:val="24"/>
        </w:rPr>
        <w:t>Eur</w:t>
      </w:r>
      <w:proofErr w:type="spellEnd"/>
      <w:r w:rsidRPr="00405D7C">
        <w:rPr>
          <w:rFonts w:cs="Times New Roman"/>
          <w:szCs w:val="24"/>
        </w:rPr>
        <w:t xml:space="preserve"> J </w:t>
      </w:r>
      <w:proofErr w:type="spellStart"/>
      <w:r w:rsidRPr="00405D7C">
        <w:rPr>
          <w:rFonts w:cs="Times New Roman"/>
          <w:szCs w:val="24"/>
        </w:rPr>
        <w:t>Nutr</w:t>
      </w:r>
      <w:proofErr w:type="spellEnd"/>
      <w:r w:rsidR="0093528D" w:rsidRPr="00405D7C">
        <w:rPr>
          <w:rFonts w:cs="Times New Roman"/>
          <w:szCs w:val="24"/>
        </w:rPr>
        <w:t>.</w:t>
      </w:r>
      <w:r w:rsidRPr="00405D7C">
        <w:rPr>
          <w:rFonts w:cs="Times New Roman"/>
          <w:szCs w:val="24"/>
        </w:rPr>
        <w:t xml:space="preserve"> 43: 118-173.</w:t>
      </w:r>
      <w:r w:rsidR="0093528D" w:rsidRPr="00405D7C">
        <w:rPr>
          <w:rFonts w:cs="Times New Roman"/>
          <w:szCs w:val="24"/>
        </w:rPr>
        <w:t xml:space="preserve"> Available from: https://doi.org/</w:t>
      </w:r>
      <w:hyperlink r:id="rId19" w:tgtFrame="_blank" w:history="1">
        <w:r w:rsidR="0093528D" w:rsidRPr="00405D7C">
          <w:rPr>
            <w:rStyle w:val="Hyperlink"/>
            <w:rFonts w:cs="Times New Roman"/>
            <w:color w:val="auto"/>
            <w:szCs w:val="24"/>
            <w:u w:val="none"/>
          </w:rPr>
          <w:t>10.1007/s00394-004-1205-4</w:t>
        </w:r>
      </w:hyperlink>
    </w:p>
    <w:p w:rsidR="004923DE" w:rsidRPr="00405D7C" w:rsidRDefault="009F6756" w:rsidP="004923DE">
      <w:pPr>
        <w:suppressLineNumbers/>
        <w:spacing w:after="0" w:line="240" w:lineRule="auto"/>
        <w:ind w:left="785" w:hangingChars="327" w:hanging="785"/>
        <w:rPr>
          <w:rFonts w:cs="Times New Roman"/>
          <w:szCs w:val="24"/>
        </w:rPr>
      </w:pPr>
      <w:r w:rsidRPr="00405D7C">
        <w:rPr>
          <w:rFonts w:cs="Times New Roman"/>
          <w:szCs w:val="24"/>
        </w:rPr>
        <w:t xml:space="preserve">De </w:t>
      </w:r>
      <w:proofErr w:type="spellStart"/>
      <w:r w:rsidRPr="00405D7C">
        <w:rPr>
          <w:rFonts w:cs="Times New Roman"/>
          <w:szCs w:val="24"/>
        </w:rPr>
        <w:t>Bolle</w:t>
      </w:r>
      <w:proofErr w:type="spellEnd"/>
      <w:r w:rsidRPr="00405D7C">
        <w:rPr>
          <w:rFonts w:cs="Times New Roman"/>
          <w:szCs w:val="24"/>
        </w:rPr>
        <w:t xml:space="preserve"> MF, Osborn RW, </w:t>
      </w:r>
      <w:proofErr w:type="spellStart"/>
      <w:r w:rsidRPr="00405D7C">
        <w:rPr>
          <w:rFonts w:cs="Times New Roman"/>
          <w:szCs w:val="24"/>
        </w:rPr>
        <w:t>Goderis</w:t>
      </w:r>
      <w:proofErr w:type="spellEnd"/>
      <w:r w:rsidRPr="00405D7C">
        <w:rPr>
          <w:rFonts w:cs="Times New Roman"/>
          <w:szCs w:val="24"/>
        </w:rPr>
        <w:t xml:space="preserve"> IJ, </w:t>
      </w:r>
      <w:proofErr w:type="spellStart"/>
      <w:r w:rsidRPr="00405D7C">
        <w:rPr>
          <w:rFonts w:cs="Times New Roman"/>
          <w:szCs w:val="24"/>
        </w:rPr>
        <w:t>Noe</w:t>
      </w:r>
      <w:proofErr w:type="spellEnd"/>
      <w:r w:rsidRPr="00405D7C">
        <w:rPr>
          <w:rFonts w:cs="Times New Roman"/>
          <w:szCs w:val="24"/>
        </w:rPr>
        <w:t xml:space="preserve"> L, Acland D, Hart CA, </w:t>
      </w:r>
      <w:proofErr w:type="spellStart"/>
      <w:r w:rsidRPr="00405D7C">
        <w:rPr>
          <w:rFonts w:cs="Times New Roman"/>
          <w:szCs w:val="24"/>
        </w:rPr>
        <w:t>Torrekens</w:t>
      </w:r>
      <w:proofErr w:type="spellEnd"/>
      <w:r w:rsidRPr="00405D7C">
        <w:rPr>
          <w:rFonts w:cs="Times New Roman"/>
          <w:szCs w:val="24"/>
        </w:rPr>
        <w:t xml:space="preserve"> S, Van Leuven F, </w:t>
      </w:r>
      <w:proofErr w:type="spellStart"/>
      <w:r w:rsidRPr="00405D7C">
        <w:rPr>
          <w:rFonts w:cs="Times New Roman"/>
          <w:szCs w:val="24"/>
        </w:rPr>
        <w:t>Broekart</w:t>
      </w:r>
      <w:proofErr w:type="spellEnd"/>
      <w:r w:rsidRPr="00405D7C">
        <w:rPr>
          <w:rFonts w:cs="Times New Roman"/>
          <w:szCs w:val="24"/>
        </w:rPr>
        <w:t xml:space="preserve"> NF</w:t>
      </w:r>
      <w:r w:rsidR="004923DE" w:rsidRPr="00405D7C">
        <w:rPr>
          <w:rFonts w:cs="Times New Roman"/>
          <w:szCs w:val="24"/>
        </w:rPr>
        <w:t>. 1996. Antimicrobial peptides</w:t>
      </w:r>
      <w:r w:rsidRPr="00405D7C">
        <w:rPr>
          <w:rFonts w:cs="Times New Roman"/>
          <w:szCs w:val="24"/>
        </w:rPr>
        <w:t xml:space="preserve"> from </w:t>
      </w:r>
      <w:proofErr w:type="spellStart"/>
      <w:r w:rsidRPr="00405D7C">
        <w:rPr>
          <w:rFonts w:cs="Times New Roman"/>
          <w:i/>
          <w:szCs w:val="24"/>
        </w:rPr>
        <w:t>Mirablis</w:t>
      </w:r>
      <w:proofErr w:type="spellEnd"/>
      <w:r w:rsidRPr="00405D7C">
        <w:rPr>
          <w:rFonts w:cs="Times New Roman"/>
          <w:i/>
          <w:szCs w:val="24"/>
        </w:rPr>
        <w:t xml:space="preserve"> </w:t>
      </w:r>
      <w:proofErr w:type="spellStart"/>
      <w:r w:rsidRPr="00405D7C">
        <w:rPr>
          <w:rFonts w:cs="Times New Roman"/>
          <w:i/>
          <w:szCs w:val="24"/>
        </w:rPr>
        <w:t>jalapa</w:t>
      </w:r>
      <w:proofErr w:type="spellEnd"/>
      <w:r w:rsidRPr="00405D7C">
        <w:rPr>
          <w:rFonts w:cs="Times New Roman"/>
          <w:szCs w:val="24"/>
        </w:rPr>
        <w:t xml:space="preserve"> and </w:t>
      </w:r>
      <w:proofErr w:type="spellStart"/>
      <w:r w:rsidRPr="00405D7C">
        <w:rPr>
          <w:rFonts w:cs="Times New Roman"/>
          <w:i/>
          <w:szCs w:val="24"/>
        </w:rPr>
        <w:t>Amaranthus</w:t>
      </w:r>
      <w:proofErr w:type="spellEnd"/>
      <w:r w:rsidRPr="00405D7C">
        <w:rPr>
          <w:rFonts w:cs="Times New Roman"/>
          <w:i/>
          <w:szCs w:val="24"/>
        </w:rPr>
        <w:t xml:space="preserve"> </w:t>
      </w:r>
      <w:proofErr w:type="spellStart"/>
      <w:r w:rsidRPr="00405D7C">
        <w:rPr>
          <w:rFonts w:cs="Times New Roman"/>
          <w:i/>
          <w:szCs w:val="24"/>
        </w:rPr>
        <w:t>caudalus</w:t>
      </w:r>
      <w:proofErr w:type="spellEnd"/>
      <w:r w:rsidRPr="00405D7C">
        <w:rPr>
          <w:rFonts w:cs="Times New Roman"/>
          <w:szCs w:val="24"/>
        </w:rPr>
        <w:t xml:space="preserve">: expression, processing, localization and biological activity in transgenic tobacco. Plant </w:t>
      </w:r>
      <w:proofErr w:type="spellStart"/>
      <w:r w:rsidRPr="00405D7C">
        <w:rPr>
          <w:rFonts w:cs="Times New Roman"/>
          <w:szCs w:val="24"/>
        </w:rPr>
        <w:t>Mol</w:t>
      </w:r>
      <w:proofErr w:type="spellEnd"/>
      <w:r w:rsidRPr="00405D7C">
        <w:rPr>
          <w:rFonts w:cs="Times New Roman"/>
          <w:szCs w:val="24"/>
        </w:rPr>
        <w:t xml:space="preserve"> Biol</w:t>
      </w:r>
      <w:r w:rsidR="0093528D" w:rsidRPr="00405D7C">
        <w:rPr>
          <w:rFonts w:cs="Times New Roman"/>
          <w:szCs w:val="24"/>
        </w:rPr>
        <w:t>.</w:t>
      </w:r>
      <w:r w:rsidRPr="00405D7C">
        <w:rPr>
          <w:rFonts w:cs="Times New Roman"/>
          <w:szCs w:val="24"/>
        </w:rPr>
        <w:t xml:space="preserve"> 31</w:t>
      </w:r>
      <w:r w:rsidR="004923DE" w:rsidRPr="00405D7C">
        <w:rPr>
          <w:rFonts w:cs="Times New Roman"/>
          <w:szCs w:val="24"/>
        </w:rPr>
        <w:t>(5)</w:t>
      </w:r>
      <w:r w:rsidRPr="00405D7C">
        <w:rPr>
          <w:rFonts w:cs="Times New Roman"/>
          <w:szCs w:val="24"/>
        </w:rPr>
        <w:t>: 993–1008.</w:t>
      </w:r>
      <w:r w:rsidR="004923DE" w:rsidRPr="00405D7C">
        <w:rPr>
          <w:rFonts w:cs="Times New Roman"/>
          <w:szCs w:val="24"/>
        </w:rPr>
        <w:t xml:space="preserve"> Available from: </w:t>
      </w:r>
      <w:hyperlink r:id="rId20" w:history="1">
        <w:r w:rsidR="004923DE" w:rsidRPr="00405D7C">
          <w:rPr>
            <w:rStyle w:val="Hyperlink"/>
            <w:rFonts w:cs="Times New Roman"/>
            <w:color w:val="auto"/>
            <w:szCs w:val="24"/>
            <w:u w:val="none"/>
            <w:shd w:val="clear" w:color="auto" w:fill="FCFCFC"/>
          </w:rPr>
          <w:t>https://doi.org/10.1007/BF00040718</w:t>
        </w:r>
      </w:hyperlink>
    </w:p>
    <w:p w:rsidR="004923DE" w:rsidRPr="00405D7C" w:rsidRDefault="009F6756" w:rsidP="004923DE">
      <w:pPr>
        <w:suppressLineNumbers/>
        <w:spacing w:after="0" w:line="240" w:lineRule="auto"/>
        <w:ind w:left="785" w:hangingChars="327" w:hanging="785"/>
        <w:rPr>
          <w:rFonts w:cs="Times New Roman"/>
          <w:szCs w:val="24"/>
        </w:rPr>
      </w:pPr>
      <w:proofErr w:type="spellStart"/>
      <w:r w:rsidRPr="00405D7C">
        <w:rPr>
          <w:rFonts w:cs="Times New Roman"/>
          <w:szCs w:val="24"/>
        </w:rPr>
        <w:t>Dhama</w:t>
      </w:r>
      <w:proofErr w:type="spellEnd"/>
      <w:r w:rsidRPr="00405D7C">
        <w:rPr>
          <w:rFonts w:cs="Times New Roman"/>
          <w:szCs w:val="24"/>
        </w:rPr>
        <w:t xml:space="preserve"> K, </w:t>
      </w:r>
      <w:proofErr w:type="spellStart"/>
      <w:r w:rsidRPr="00405D7C">
        <w:rPr>
          <w:rFonts w:cs="Times New Roman"/>
          <w:szCs w:val="24"/>
        </w:rPr>
        <w:t>Latheef</w:t>
      </w:r>
      <w:proofErr w:type="spellEnd"/>
      <w:r w:rsidRPr="00405D7C">
        <w:rPr>
          <w:rFonts w:cs="Times New Roman"/>
          <w:szCs w:val="24"/>
        </w:rPr>
        <w:t xml:space="preserve"> SK, </w:t>
      </w:r>
      <w:proofErr w:type="spellStart"/>
      <w:r w:rsidRPr="00405D7C">
        <w:rPr>
          <w:rFonts w:cs="Times New Roman"/>
          <w:szCs w:val="24"/>
        </w:rPr>
        <w:t>Saminathan</w:t>
      </w:r>
      <w:proofErr w:type="spellEnd"/>
      <w:r w:rsidRPr="00405D7C">
        <w:rPr>
          <w:rFonts w:cs="Times New Roman"/>
          <w:szCs w:val="24"/>
        </w:rPr>
        <w:t xml:space="preserve"> M, </w:t>
      </w:r>
      <w:proofErr w:type="spellStart"/>
      <w:r w:rsidRPr="00405D7C">
        <w:rPr>
          <w:rFonts w:cs="Times New Roman"/>
          <w:szCs w:val="24"/>
        </w:rPr>
        <w:t>Samad</w:t>
      </w:r>
      <w:proofErr w:type="spellEnd"/>
      <w:r w:rsidRPr="00405D7C">
        <w:rPr>
          <w:rFonts w:cs="Times New Roman"/>
          <w:szCs w:val="24"/>
        </w:rPr>
        <w:t xml:space="preserve"> HA, </w:t>
      </w:r>
      <w:proofErr w:type="spellStart"/>
      <w:r w:rsidRPr="00405D7C">
        <w:rPr>
          <w:rFonts w:cs="Times New Roman"/>
          <w:szCs w:val="24"/>
        </w:rPr>
        <w:t>Ka</w:t>
      </w:r>
      <w:r w:rsidR="004923DE" w:rsidRPr="00405D7C">
        <w:rPr>
          <w:rFonts w:cs="Times New Roman"/>
          <w:szCs w:val="24"/>
        </w:rPr>
        <w:t>rthik</w:t>
      </w:r>
      <w:proofErr w:type="spellEnd"/>
      <w:r w:rsidR="004923DE" w:rsidRPr="00405D7C">
        <w:rPr>
          <w:rFonts w:cs="Times New Roman"/>
          <w:szCs w:val="24"/>
        </w:rPr>
        <w:t xml:space="preserve"> K, et al. 2015. Multiple Beneficial Applications and Modes of A</w:t>
      </w:r>
      <w:r w:rsidRPr="00405D7C">
        <w:rPr>
          <w:rFonts w:cs="Times New Roman"/>
          <w:szCs w:val="24"/>
        </w:rPr>
        <w:t>c</w:t>
      </w:r>
      <w:r w:rsidR="004923DE" w:rsidRPr="00405D7C">
        <w:rPr>
          <w:rFonts w:cs="Times New Roman"/>
          <w:szCs w:val="24"/>
        </w:rPr>
        <w:t>tion of Herbs in Poultry Health and Production-</w:t>
      </w:r>
      <w:r w:rsidRPr="00405D7C">
        <w:rPr>
          <w:rFonts w:cs="Times New Roman"/>
          <w:szCs w:val="24"/>
        </w:rPr>
        <w:t xml:space="preserve">A review. </w:t>
      </w:r>
      <w:proofErr w:type="spellStart"/>
      <w:r w:rsidRPr="00405D7C">
        <w:rPr>
          <w:rFonts w:cs="Times New Roman"/>
          <w:szCs w:val="24"/>
        </w:rPr>
        <w:t>Int</w:t>
      </w:r>
      <w:proofErr w:type="spellEnd"/>
      <w:r w:rsidRPr="00405D7C">
        <w:rPr>
          <w:rFonts w:cs="Times New Roman"/>
          <w:szCs w:val="24"/>
        </w:rPr>
        <w:t xml:space="preserve"> J </w:t>
      </w:r>
      <w:proofErr w:type="spellStart"/>
      <w:r w:rsidRPr="00405D7C">
        <w:rPr>
          <w:rFonts w:cs="Times New Roman"/>
          <w:szCs w:val="24"/>
        </w:rPr>
        <w:t>Pharmacol</w:t>
      </w:r>
      <w:proofErr w:type="spellEnd"/>
      <w:r w:rsidR="0093528D" w:rsidRPr="00405D7C">
        <w:rPr>
          <w:rFonts w:cs="Times New Roman"/>
          <w:szCs w:val="24"/>
        </w:rPr>
        <w:t>.</w:t>
      </w:r>
      <w:r w:rsidRPr="00405D7C">
        <w:rPr>
          <w:rFonts w:cs="Times New Roman"/>
          <w:szCs w:val="24"/>
        </w:rPr>
        <w:t xml:space="preserve"> 11</w:t>
      </w:r>
      <w:r w:rsidR="004923DE" w:rsidRPr="00405D7C">
        <w:rPr>
          <w:rFonts w:cs="Times New Roman"/>
          <w:szCs w:val="24"/>
        </w:rPr>
        <w:t>(3)</w:t>
      </w:r>
      <w:r w:rsidRPr="00405D7C">
        <w:rPr>
          <w:rFonts w:cs="Times New Roman"/>
          <w:szCs w:val="24"/>
        </w:rPr>
        <w:t>: 152-176.</w:t>
      </w:r>
      <w:r w:rsidR="004923DE" w:rsidRPr="00405D7C">
        <w:rPr>
          <w:rFonts w:cs="Times New Roman"/>
          <w:szCs w:val="24"/>
        </w:rPr>
        <w:t xml:space="preserve"> </w:t>
      </w:r>
      <w:r w:rsidR="0093528D" w:rsidRPr="00405D7C">
        <w:rPr>
          <w:rFonts w:cs="Times New Roman"/>
          <w:szCs w:val="24"/>
        </w:rPr>
        <w:t>Available from: https://doi.org/</w:t>
      </w:r>
      <w:hyperlink r:id="rId21" w:tgtFrame="_blank" w:history="1">
        <w:r w:rsidR="004923DE" w:rsidRPr="00405D7C">
          <w:rPr>
            <w:rStyle w:val="Hyperlink"/>
            <w:rFonts w:cs="Times New Roman"/>
            <w:color w:val="auto"/>
            <w:szCs w:val="24"/>
            <w:u w:val="none"/>
          </w:rPr>
          <w:t>10.3923/ijp.2015.152.176</w:t>
        </w:r>
      </w:hyperlink>
    </w:p>
    <w:p w:rsidR="004923DE" w:rsidRPr="00405D7C" w:rsidRDefault="009F6756" w:rsidP="004923DE">
      <w:pPr>
        <w:suppressLineNumbers/>
        <w:spacing w:after="0" w:line="240" w:lineRule="auto"/>
        <w:ind w:left="785" w:hangingChars="327" w:hanging="785"/>
        <w:rPr>
          <w:rFonts w:cs="Times New Roman"/>
          <w:szCs w:val="24"/>
        </w:rPr>
      </w:pPr>
      <w:proofErr w:type="spellStart"/>
      <w:r w:rsidRPr="00405D7C">
        <w:rPr>
          <w:rFonts w:cs="Times New Roman"/>
          <w:szCs w:val="24"/>
        </w:rPr>
        <w:t>Giannenas</w:t>
      </w:r>
      <w:proofErr w:type="spellEnd"/>
      <w:r w:rsidRPr="00405D7C">
        <w:rPr>
          <w:rFonts w:cs="Times New Roman"/>
          <w:szCs w:val="24"/>
        </w:rPr>
        <w:t xml:space="preserve"> I, Triantafillou E, </w:t>
      </w:r>
      <w:proofErr w:type="spellStart"/>
      <w:r w:rsidRPr="00405D7C">
        <w:rPr>
          <w:rFonts w:cs="Times New Roman"/>
          <w:szCs w:val="24"/>
        </w:rPr>
        <w:t>Stavrakakis</w:t>
      </w:r>
      <w:proofErr w:type="spellEnd"/>
      <w:r w:rsidRPr="00405D7C">
        <w:rPr>
          <w:rFonts w:cs="Times New Roman"/>
          <w:szCs w:val="24"/>
        </w:rPr>
        <w:t xml:space="preserve"> S, </w:t>
      </w:r>
      <w:proofErr w:type="spellStart"/>
      <w:r w:rsidRPr="00405D7C">
        <w:rPr>
          <w:rFonts w:cs="Times New Roman"/>
          <w:szCs w:val="24"/>
        </w:rPr>
        <w:t>Margaroni</w:t>
      </w:r>
      <w:proofErr w:type="spellEnd"/>
      <w:r w:rsidRPr="00405D7C">
        <w:rPr>
          <w:rFonts w:cs="Times New Roman"/>
          <w:szCs w:val="24"/>
        </w:rPr>
        <w:t xml:space="preserve"> M, </w:t>
      </w:r>
      <w:proofErr w:type="spellStart"/>
      <w:r w:rsidRPr="00405D7C">
        <w:rPr>
          <w:rFonts w:cs="Times New Roman"/>
          <w:szCs w:val="24"/>
        </w:rPr>
        <w:t>Mavridis</w:t>
      </w:r>
      <w:proofErr w:type="spellEnd"/>
      <w:r w:rsidRPr="00405D7C">
        <w:rPr>
          <w:rFonts w:cs="Times New Roman"/>
          <w:szCs w:val="24"/>
        </w:rPr>
        <w:t xml:space="preserve"> S, Steiner T, </w:t>
      </w:r>
      <w:proofErr w:type="spellStart"/>
      <w:r w:rsidRPr="00405D7C">
        <w:rPr>
          <w:rFonts w:cs="Times New Roman"/>
          <w:szCs w:val="24"/>
        </w:rPr>
        <w:t>Karagouni</w:t>
      </w:r>
      <w:proofErr w:type="spellEnd"/>
      <w:r w:rsidRPr="00405D7C">
        <w:rPr>
          <w:rFonts w:cs="Times New Roman"/>
          <w:szCs w:val="24"/>
        </w:rPr>
        <w:t xml:space="preserve"> E. 2012. Assessment of dietary supplementation with </w:t>
      </w:r>
      <w:proofErr w:type="spellStart"/>
      <w:r w:rsidRPr="00405D7C">
        <w:rPr>
          <w:rFonts w:cs="Times New Roman"/>
          <w:szCs w:val="24"/>
        </w:rPr>
        <w:t>carvacrol</w:t>
      </w:r>
      <w:proofErr w:type="spellEnd"/>
      <w:r w:rsidRPr="00405D7C">
        <w:rPr>
          <w:rFonts w:cs="Times New Roman"/>
          <w:szCs w:val="24"/>
        </w:rPr>
        <w:t xml:space="preserve"> or </w:t>
      </w:r>
      <w:proofErr w:type="spellStart"/>
      <w:r w:rsidRPr="00405D7C">
        <w:rPr>
          <w:rFonts w:cs="Times New Roman"/>
          <w:szCs w:val="24"/>
        </w:rPr>
        <w:t>thymol</w:t>
      </w:r>
      <w:proofErr w:type="spellEnd"/>
      <w:r w:rsidRPr="00405D7C">
        <w:rPr>
          <w:rFonts w:cs="Times New Roman"/>
          <w:szCs w:val="24"/>
        </w:rPr>
        <w:t xml:space="preserve"> containing feed additives on performance, intestinal microbiota and anti-oxidant status of rainbow trout (</w:t>
      </w:r>
      <w:proofErr w:type="spellStart"/>
      <w:r w:rsidRPr="00405D7C">
        <w:rPr>
          <w:rFonts w:cs="Times New Roman"/>
          <w:i/>
          <w:szCs w:val="24"/>
        </w:rPr>
        <w:t>Oncorhynchus</w:t>
      </w:r>
      <w:proofErr w:type="spellEnd"/>
      <w:r w:rsidRPr="00405D7C">
        <w:rPr>
          <w:rFonts w:cs="Times New Roman"/>
          <w:i/>
          <w:szCs w:val="24"/>
        </w:rPr>
        <w:t xml:space="preserve"> mykiss</w:t>
      </w:r>
      <w:r w:rsidRPr="00405D7C">
        <w:rPr>
          <w:rFonts w:cs="Times New Roman"/>
          <w:szCs w:val="24"/>
        </w:rPr>
        <w:t>). Aquaculture</w:t>
      </w:r>
      <w:r w:rsidR="0093528D" w:rsidRPr="00405D7C">
        <w:rPr>
          <w:rFonts w:cs="Times New Roman"/>
          <w:szCs w:val="24"/>
        </w:rPr>
        <w:t>.</w:t>
      </w:r>
      <w:r w:rsidRPr="00405D7C">
        <w:rPr>
          <w:rFonts w:cs="Times New Roman"/>
          <w:szCs w:val="24"/>
        </w:rPr>
        <w:t xml:space="preserve"> 350–353: 26–32.</w:t>
      </w:r>
      <w:r w:rsidR="004923DE" w:rsidRPr="00405D7C">
        <w:rPr>
          <w:rFonts w:cs="Times New Roman"/>
          <w:szCs w:val="24"/>
        </w:rPr>
        <w:t xml:space="preserve"> Available from: </w:t>
      </w:r>
      <w:hyperlink r:id="rId22" w:tgtFrame="_blank" w:tooltip="Persistent link using digital object identifier" w:history="1">
        <w:r w:rsidR="004923DE" w:rsidRPr="00405D7C">
          <w:rPr>
            <w:rStyle w:val="Hyperlink"/>
            <w:rFonts w:cs="Times New Roman"/>
            <w:color w:val="auto"/>
            <w:szCs w:val="24"/>
            <w:u w:val="none"/>
          </w:rPr>
          <w:t>https://doi.org/10.1016/j.aquaculture.2012.04.027</w:t>
        </w:r>
      </w:hyperlink>
    </w:p>
    <w:p w:rsidR="004923DE" w:rsidRPr="00405D7C" w:rsidRDefault="009F6756" w:rsidP="004923DE">
      <w:pPr>
        <w:suppressLineNumbers/>
        <w:spacing w:after="0" w:line="240" w:lineRule="auto"/>
        <w:ind w:left="785" w:hangingChars="327" w:hanging="785"/>
        <w:rPr>
          <w:rFonts w:cs="Times New Roman"/>
          <w:szCs w:val="24"/>
        </w:rPr>
      </w:pPr>
      <w:r w:rsidRPr="00405D7C">
        <w:rPr>
          <w:rFonts w:cs="Times New Roman"/>
          <w:szCs w:val="24"/>
        </w:rPr>
        <w:t xml:space="preserve">Gómez GD, </w:t>
      </w:r>
      <w:proofErr w:type="spellStart"/>
      <w:r w:rsidRPr="00405D7C">
        <w:rPr>
          <w:rFonts w:cs="Times New Roman"/>
          <w:szCs w:val="24"/>
        </w:rPr>
        <w:t>Balcázar</w:t>
      </w:r>
      <w:proofErr w:type="spellEnd"/>
      <w:r w:rsidRPr="00405D7C">
        <w:rPr>
          <w:rFonts w:cs="Times New Roman"/>
          <w:szCs w:val="24"/>
        </w:rPr>
        <w:t xml:space="preserve"> JL. 2008. A review on the interactions between gut microbiota and innate immunity of fish. FEMS </w:t>
      </w:r>
      <w:proofErr w:type="spellStart"/>
      <w:r w:rsidRPr="00405D7C">
        <w:rPr>
          <w:rFonts w:cs="Times New Roman"/>
          <w:szCs w:val="24"/>
        </w:rPr>
        <w:t>Immunol</w:t>
      </w:r>
      <w:proofErr w:type="spellEnd"/>
      <w:r w:rsidRPr="00405D7C">
        <w:rPr>
          <w:rFonts w:cs="Times New Roman"/>
          <w:szCs w:val="24"/>
        </w:rPr>
        <w:t xml:space="preserve"> Med </w:t>
      </w:r>
      <w:proofErr w:type="spellStart"/>
      <w:r w:rsidRPr="00405D7C">
        <w:rPr>
          <w:rFonts w:cs="Times New Roman"/>
          <w:szCs w:val="24"/>
        </w:rPr>
        <w:t>Microbiol</w:t>
      </w:r>
      <w:proofErr w:type="spellEnd"/>
      <w:r w:rsidR="0093528D" w:rsidRPr="00405D7C">
        <w:rPr>
          <w:rFonts w:cs="Times New Roman"/>
          <w:szCs w:val="24"/>
        </w:rPr>
        <w:t>.</w:t>
      </w:r>
      <w:r w:rsidRPr="00405D7C">
        <w:rPr>
          <w:rFonts w:cs="Times New Roman"/>
          <w:szCs w:val="24"/>
        </w:rPr>
        <w:t xml:space="preserve"> 52</w:t>
      </w:r>
      <w:r w:rsidR="004923DE" w:rsidRPr="00405D7C">
        <w:rPr>
          <w:rFonts w:cs="Times New Roman"/>
          <w:szCs w:val="24"/>
        </w:rPr>
        <w:t>(2)</w:t>
      </w:r>
      <w:r w:rsidRPr="00405D7C">
        <w:rPr>
          <w:rFonts w:cs="Times New Roman"/>
          <w:szCs w:val="24"/>
        </w:rPr>
        <w:t>: 145–154.</w:t>
      </w:r>
      <w:r w:rsidR="004923DE" w:rsidRPr="00405D7C">
        <w:rPr>
          <w:rFonts w:cs="Times New Roman"/>
          <w:szCs w:val="24"/>
        </w:rPr>
        <w:t xml:space="preserve"> Available from: </w:t>
      </w:r>
      <w:hyperlink r:id="rId23" w:history="1">
        <w:r w:rsidR="004923DE" w:rsidRPr="00405D7C">
          <w:rPr>
            <w:rStyle w:val="Hyperlink"/>
            <w:rFonts w:cs="Times New Roman"/>
            <w:color w:val="auto"/>
            <w:szCs w:val="24"/>
            <w:u w:val="none"/>
            <w:bdr w:val="none" w:sz="0" w:space="0" w:color="auto" w:frame="1"/>
            <w:shd w:val="clear" w:color="auto" w:fill="FFFFFF"/>
          </w:rPr>
          <w:t>https://doi.org/10.1111/j.1574-695X.2007.00343.x</w:t>
        </w:r>
      </w:hyperlink>
    </w:p>
    <w:p w:rsidR="004923DE" w:rsidRPr="00405D7C" w:rsidRDefault="009F6756" w:rsidP="004923DE">
      <w:pPr>
        <w:suppressLineNumbers/>
        <w:spacing w:after="0" w:line="240" w:lineRule="auto"/>
        <w:ind w:left="785" w:hangingChars="327" w:hanging="785"/>
        <w:rPr>
          <w:rFonts w:cs="Times New Roman"/>
          <w:szCs w:val="24"/>
        </w:rPr>
      </w:pPr>
      <w:r w:rsidRPr="00405D7C">
        <w:rPr>
          <w:rFonts w:cs="Times New Roman"/>
          <w:szCs w:val="24"/>
        </w:rPr>
        <w:t xml:space="preserve">Hammer KA, Carson CF, Riley TV. 1999. Antimicrobial activity of essential oils and other plant extracts. J </w:t>
      </w:r>
      <w:proofErr w:type="spellStart"/>
      <w:r w:rsidRPr="00405D7C">
        <w:rPr>
          <w:rFonts w:cs="Times New Roman"/>
          <w:szCs w:val="24"/>
        </w:rPr>
        <w:t>Appl</w:t>
      </w:r>
      <w:proofErr w:type="spellEnd"/>
      <w:r w:rsidRPr="00405D7C">
        <w:rPr>
          <w:rFonts w:cs="Times New Roman"/>
          <w:szCs w:val="24"/>
        </w:rPr>
        <w:t xml:space="preserve"> </w:t>
      </w:r>
      <w:proofErr w:type="spellStart"/>
      <w:r w:rsidRPr="00405D7C">
        <w:rPr>
          <w:rFonts w:cs="Times New Roman"/>
          <w:szCs w:val="24"/>
        </w:rPr>
        <w:t>Microbiol</w:t>
      </w:r>
      <w:proofErr w:type="spellEnd"/>
      <w:r w:rsidR="0093528D" w:rsidRPr="00405D7C">
        <w:rPr>
          <w:rFonts w:cs="Times New Roman"/>
          <w:szCs w:val="24"/>
        </w:rPr>
        <w:t>.</w:t>
      </w:r>
      <w:r w:rsidRPr="00405D7C">
        <w:rPr>
          <w:rFonts w:cs="Times New Roman"/>
          <w:szCs w:val="24"/>
        </w:rPr>
        <w:t xml:space="preserve"> 86: 985–990.</w:t>
      </w:r>
      <w:r w:rsidR="004923DE" w:rsidRPr="00405D7C">
        <w:rPr>
          <w:rFonts w:cs="Times New Roman"/>
          <w:szCs w:val="24"/>
        </w:rPr>
        <w:t xml:space="preserve"> Available from: https://doi.org/</w:t>
      </w:r>
      <w:hyperlink r:id="rId24" w:tgtFrame="_blank" w:history="1">
        <w:r w:rsidR="004923DE" w:rsidRPr="00405D7C">
          <w:rPr>
            <w:rStyle w:val="Hyperlink"/>
            <w:rFonts w:cs="Times New Roman"/>
            <w:color w:val="auto"/>
            <w:szCs w:val="24"/>
            <w:u w:val="none"/>
          </w:rPr>
          <w:t>10.1046/j.1365-2672.1999.00780.x</w:t>
        </w:r>
      </w:hyperlink>
    </w:p>
    <w:p w:rsidR="004923DE" w:rsidRPr="00405D7C" w:rsidRDefault="009F6756" w:rsidP="004923DE">
      <w:pPr>
        <w:suppressLineNumbers/>
        <w:spacing w:after="0" w:line="240" w:lineRule="auto"/>
        <w:ind w:left="785" w:hangingChars="327" w:hanging="785"/>
        <w:rPr>
          <w:rFonts w:cs="Times New Roman"/>
          <w:szCs w:val="24"/>
        </w:rPr>
      </w:pPr>
      <w:proofErr w:type="spellStart"/>
      <w:r w:rsidRPr="00405D7C">
        <w:rPr>
          <w:rFonts w:cs="Times New Roman"/>
          <w:szCs w:val="24"/>
        </w:rPr>
        <w:t>Harikrishnan</w:t>
      </w:r>
      <w:proofErr w:type="spellEnd"/>
      <w:r w:rsidRPr="00405D7C">
        <w:rPr>
          <w:rFonts w:cs="Times New Roman"/>
          <w:szCs w:val="24"/>
        </w:rPr>
        <w:t xml:space="preserve"> R, </w:t>
      </w:r>
      <w:proofErr w:type="spellStart"/>
      <w:r w:rsidRPr="00405D7C">
        <w:rPr>
          <w:rFonts w:cs="Times New Roman"/>
          <w:szCs w:val="24"/>
        </w:rPr>
        <w:t>Balasundaram</w:t>
      </w:r>
      <w:proofErr w:type="spellEnd"/>
      <w:r w:rsidRPr="00405D7C">
        <w:rPr>
          <w:rFonts w:cs="Times New Roman"/>
          <w:szCs w:val="24"/>
        </w:rPr>
        <w:t xml:space="preserve"> C, </w:t>
      </w:r>
      <w:proofErr w:type="spellStart"/>
      <w:r w:rsidRPr="00405D7C">
        <w:rPr>
          <w:rFonts w:cs="Times New Roman"/>
          <w:szCs w:val="24"/>
        </w:rPr>
        <w:t>Heo</w:t>
      </w:r>
      <w:proofErr w:type="spellEnd"/>
      <w:r w:rsidRPr="00405D7C">
        <w:rPr>
          <w:rFonts w:cs="Times New Roman"/>
          <w:szCs w:val="24"/>
        </w:rPr>
        <w:t xml:space="preserve"> MS. 2011. Diet enriched with mushroom </w:t>
      </w:r>
      <w:r w:rsidRPr="00405D7C">
        <w:rPr>
          <w:rFonts w:cs="Times New Roman"/>
          <w:i/>
          <w:szCs w:val="24"/>
        </w:rPr>
        <w:t xml:space="preserve">Phellinus </w:t>
      </w:r>
      <w:proofErr w:type="spellStart"/>
      <w:r w:rsidRPr="00405D7C">
        <w:rPr>
          <w:rFonts w:cs="Times New Roman"/>
          <w:i/>
          <w:szCs w:val="24"/>
        </w:rPr>
        <w:t>linteus</w:t>
      </w:r>
      <w:proofErr w:type="spellEnd"/>
      <w:r w:rsidRPr="00405D7C">
        <w:rPr>
          <w:rFonts w:cs="Times New Roman"/>
          <w:szCs w:val="24"/>
        </w:rPr>
        <w:t xml:space="preserve"> extract enhances the growth, innate immune response, and disease resistance of kelp grouper, </w:t>
      </w:r>
      <w:proofErr w:type="spellStart"/>
      <w:r w:rsidRPr="00405D7C">
        <w:rPr>
          <w:rFonts w:cs="Times New Roman"/>
          <w:i/>
          <w:szCs w:val="24"/>
        </w:rPr>
        <w:t>Epinephelus</w:t>
      </w:r>
      <w:proofErr w:type="spellEnd"/>
      <w:r w:rsidRPr="00405D7C">
        <w:rPr>
          <w:rFonts w:cs="Times New Roman"/>
          <w:i/>
          <w:szCs w:val="24"/>
        </w:rPr>
        <w:t xml:space="preserve"> </w:t>
      </w:r>
      <w:proofErr w:type="spellStart"/>
      <w:r w:rsidRPr="00405D7C">
        <w:rPr>
          <w:rFonts w:cs="Times New Roman"/>
          <w:i/>
          <w:szCs w:val="24"/>
        </w:rPr>
        <w:t>bruneus</w:t>
      </w:r>
      <w:proofErr w:type="spellEnd"/>
      <w:r w:rsidRPr="00405D7C">
        <w:rPr>
          <w:rFonts w:cs="Times New Roman"/>
          <w:szCs w:val="24"/>
        </w:rPr>
        <w:t xml:space="preserve"> against </w:t>
      </w:r>
      <w:proofErr w:type="spellStart"/>
      <w:r w:rsidRPr="00405D7C">
        <w:rPr>
          <w:rFonts w:cs="Times New Roman"/>
          <w:szCs w:val="24"/>
        </w:rPr>
        <w:t>vibriosis</w:t>
      </w:r>
      <w:proofErr w:type="spellEnd"/>
      <w:r w:rsidRPr="00405D7C">
        <w:rPr>
          <w:rFonts w:cs="Times New Roman"/>
          <w:szCs w:val="24"/>
        </w:rPr>
        <w:t xml:space="preserve">. Fish Shellfish </w:t>
      </w:r>
      <w:proofErr w:type="spellStart"/>
      <w:r w:rsidRPr="00405D7C">
        <w:rPr>
          <w:rFonts w:cs="Times New Roman"/>
          <w:szCs w:val="24"/>
        </w:rPr>
        <w:t>Immunol</w:t>
      </w:r>
      <w:proofErr w:type="spellEnd"/>
      <w:r w:rsidR="0093528D" w:rsidRPr="00405D7C">
        <w:rPr>
          <w:rFonts w:cs="Times New Roman"/>
          <w:szCs w:val="24"/>
        </w:rPr>
        <w:t>.</w:t>
      </w:r>
      <w:r w:rsidRPr="00405D7C">
        <w:rPr>
          <w:rFonts w:cs="Times New Roman"/>
          <w:szCs w:val="24"/>
        </w:rPr>
        <w:t xml:space="preserve"> 30</w:t>
      </w:r>
      <w:r w:rsidR="004923DE" w:rsidRPr="00405D7C">
        <w:rPr>
          <w:rFonts w:cs="Times New Roman"/>
          <w:szCs w:val="24"/>
        </w:rPr>
        <w:t>(1)</w:t>
      </w:r>
      <w:r w:rsidRPr="00405D7C">
        <w:rPr>
          <w:rFonts w:cs="Times New Roman"/>
          <w:szCs w:val="24"/>
        </w:rPr>
        <w:t>: 128–134.</w:t>
      </w:r>
      <w:r w:rsidR="004923DE" w:rsidRPr="00405D7C">
        <w:rPr>
          <w:rFonts w:cs="Times New Roman"/>
          <w:szCs w:val="24"/>
        </w:rPr>
        <w:t xml:space="preserve"> Available from: </w:t>
      </w:r>
      <w:hyperlink r:id="rId25" w:tgtFrame="_blank" w:tooltip="Persistent link using digital object identifier" w:history="1">
        <w:r w:rsidR="004923DE" w:rsidRPr="00405D7C">
          <w:rPr>
            <w:rStyle w:val="Hyperlink"/>
            <w:rFonts w:cs="Times New Roman"/>
            <w:color w:val="auto"/>
            <w:szCs w:val="24"/>
            <w:u w:val="none"/>
          </w:rPr>
          <w:t>https://doi.org/10.1016/j.fsi.2010.09.013</w:t>
        </w:r>
      </w:hyperlink>
    </w:p>
    <w:p w:rsidR="004923DE" w:rsidRPr="00405D7C" w:rsidRDefault="009F6756" w:rsidP="004923DE">
      <w:pPr>
        <w:suppressLineNumbers/>
        <w:spacing w:after="0" w:line="240" w:lineRule="auto"/>
        <w:ind w:left="785" w:hangingChars="327" w:hanging="785"/>
        <w:rPr>
          <w:rFonts w:cs="Times New Roman"/>
          <w:szCs w:val="24"/>
        </w:rPr>
      </w:pPr>
      <w:proofErr w:type="spellStart"/>
      <w:r w:rsidRPr="00405D7C">
        <w:rPr>
          <w:rFonts w:cs="Times New Roman"/>
          <w:szCs w:val="24"/>
        </w:rPr>
        <w:t>Hashemi</w:t>
      </w:r>
      <w:proofErr w:type="spellEnd"/>
      <w:r w:rsidRPr="00405D7C">
        <w:rPr>
          <w:rFonts w:cs="Times New Roman"/>
          <w:szCs w:val="24"/>
        </w:rPr>
        <w:t xml:space="preserve"> SR, </w:t>
      </w:r>
      <w:proofErr w:type="spellStart"/>
      <w:r w:rsidRPr="00405D7C">
        <w:rPr>
          <w:rFonts w:cs="Times New Roman"/>
          <w:szCs w:val="24"/>
        </w:rPr>
        <w:t>Zulkifli</w:t>
      </w:r>
      <w:proofErr w:type="spellEnd"/>
      <w:r w:rsidRPr="00405D7C">
        <w:rPr>
          <w:rFonts w:cs="Times New Roman"/>
          <w:szCs w:val="24"/>
        </w:rPr>
        <w:t xml:space="preserve"> I, </w:t>
      </w:r>
      <w:proofErr w:type="spellStart"/>
      <w:r w:rsidRPr="00405D7C">
        <w:rPr>
          <w:rFonts w:cs="Times New Roman"/>
          <w:szCs w:val="24"/>
        </w:rPr>
        <w:t>Zunita</w:t>
      </w:r>
      <w:proofErr w:type="spellEnd"/>
      <w:r w:rsidRPr="00405D7C">
        <w:rPr>
          <w:rFonts w:cs="Times New Roman"/>
          <w:szCs w:val="24"/>
        </w:rPr>
        <w:t xml:space="preserve"> Z, </w:t>
      </w:r>
      <w:proofErr w:type="spellStart"/>
      <w:r w:rsidRPr="00405D7C">
        <w:rPr>
          <w:rFonts w:cs="Times New Roman"/>
          <w:szCs w:val="24"/>
        </w:rPr>
        <w:t>Somchit</w:t>
      </w:r>
      <w:proofErr w:type="spellEnd"/>
      <w:r w:rsidRPr="00405D7C">
        <w:rPr>
          <w:rFonts w:cs="Times New Roman"/>
          <w:szCs w:val="24"/>
        </w:rPr>
        <w:t xml:space="preserve"> MN. 2008. The effect of selected sterilization methods on antibacterial activity of aqueous extract of herbal plants. J </w:t>
      </w:r>
      <w:proofErr w:type="spellStart"/>
      <w:r w:rsidRPr="00405D7C">
        <w:rPr>
          <w:rFonts w:cs="Times New Roman"/>
          <w:szCs w:val="24"/>
        </w:rPr>
        <w:t>Biol</w:t>
      </w:r>
      <w:proofErr w:type="spellEnd"/>
      <w:r w:rsidRPr="00405D7C">
        <w:rPr>
          <w:rFonts w:cs="Times New Roman"/>
          <w:szCs w:val="24"/>
        </w:rPr>
        <w:t xml:space="preserve"> </w:t>
      </w:r>
      <w:proofErr w:type="spellStart"/>
      <w:r w:rsidRPr="00405D7C">
        <w:rPr>
          <w:rFonts w:cs="Times New Roman"/>
          <w:szCs w:val="24"/>
        </w:rPr>
        <w:t>Sci</w:t>
      </w:r>
      <w:proofErr w:type="spellEnd"/>
      <w:r w:rsidRPr="00405D7C">
        <w:rPr>
          <w:rFonts w:cs="Times New Roman"/>
          <w:szCs w:val="24"/>
        </w:rPr>
        <w:t xml:space="preserve"> 8</w:t>
      </w:r>
      <w:r w:rsidR="004923DE" w:rsidRPr="00405D7C">
        <w:rPr>
          <w:rFonts w:cs="Times New Roman"/>
          <w:szCs w:val="24"/>
        </w:rPr>
        <w:t>(6)</w:t>
      </w:r>
      <w:r w:rsidRPr="00405D7C">
        <w:rPr>
          <w:rFonts w:cs="Times New Roman"/>
          <w:szCs w:val="24"/>
        </w:rPr>
        <w:t>: 1072–1076.</w:t>
      </w:r>
      <w:r w:rsidR="004923DE" w:rsidRPr="00405D7C">
        <w:rPr>
          <w:rFonts w:cs="Times New Roman"/>
          <w:szCs w:val="24"/>
        </w:rPr>
        <w:t xml:space="preserve"> Available from: https://doi.org/</w:t>
      </w:r>
      <w:hyperlink r:id="rId26" w:tgtFrame="_blank" w:history="1">
        <w:r w:rsidR="004923DE" w:rsidRPr="00405D7C">
          <w:rPr>
            <w:rStyle w:val="Hyperlink"/>
            <w:rFonts w:cs="Times New Roman"/>
            <w:color w:val="auto"/>
            <w:szCs w:val="24"/>
            <w:u w:val="none"/>
          </w:rPr>
          <w:t>10.3923/jbs.2008.1072.1076</w:t>
        </w:r>
      </w:hyperlink>
    </w:p>
    <w:p w:rsidR="0093528D" w:rsidRPr="00405D7C" w:rsidRDefault="009F6756" w:rsidP="0093528D">
      <w:pPr>
        <w:suppressLineNumbers/>
        <w:spacing w:after="0" w:line="240" w:lineRule="auto"/>
        <w:ind w:left="785" w:hangingChars="327" w:hanging="785"/>
        <w:rPr>
          <w:rFonts w:cs="Times New Roman"/>
          <w:szCs w:val="24"/>
        </w:rPr>
      </w:pPr>
      <w:r w:rsidRPr="00405D7C">
        <w:rPr>
          <w:rFonts w:cs="Times New Roman"/>
          <w:szCs w:val="24"/>
        </w:rPr>
        <w:t xml:space="preserve">Hashimoto GSO, </w:t>
      </w:r>
      <w:proofErr w:type="spellStart"/>
      <w:r w:rsidRPr="00405D7C">
        <w:rPr>
          <w:rFonts w:cs="Times New Roman"/>
          <w:szCs w:val="24"/>
        </w:rPr>
        <w:t>Marinho</w:t>
      </w:r>
      <w:proofErr w:type="spellEnd"/>
      <w:r w:rsidRPr="00405D7C">
        <w:rPr>
          <w:rFonts w:cs="Times New Roman"/>
          <w:szCs w:val="24"/>
        </w:rPr>
        <w:t xml:space="preserve"> </w:t>
      </w:r>
      <w:proofErr w:type="spellStart"/>
      <w:r w:rsidRPr="00405D7C">
        <w:rPr>
          <w:rFonts w:cs="Times New Roman"/>
          <w:szCs w:val="24"/>
        </w:rPr>
        <w:t>Neto</w:t>
      </w:r>
      <w:proofErr w:type="spellEnd"/>
      <w:r w:rsidRPr="00405D7C">
        <w:rPr>
          <w:rFonts w:cs="Times New Roman"/>
          <w:szCs w:val="24"/>
        </w:rPr>
        <w:t xml:space="preserve"> F, Ruiz ML, </w:t>
      </w:r>
      <w:proofErr w:type="spellStart"/>
      <w:r w:rsidRPr="00405D7C">
        <w:rPr>
          <w:rFonts w:cs="Times New Roman"/>
          <w:szCs w:val="24"/>
        </w:rPr>
        <w:t>Acchile</w:t>
      </w:r>
      <w:proofErr w:type="spellEnd"/>
      <w:r w:rsidRPr="00405D7C">
        <w:rPr>
          <w:rFonts w:cs="Times New Roman"/>
          <w:szCs w:val="24"/>
        </w:rPr>
        <w:t xml:space="preserve"> M, Chagas EC, Chaves FCM, et al. 2016. Essential oils of </w:t>
      </w:r>
      <w:proofErr w:type="spellStart"/>
      <w:r w:rsidRPr="00405D7C">
        <w:rPr>
          <w:rFonts w:cs="Times New Roman"/>
          <w:i/>
          <w:szCs w:val="24"/>
        </w:rPr>
        <w:t>Lippia</w:t>
      </w:r>
      <w:proofErr w:type="spellEnd"/>
      <w:r w:rsidRPr="00405D7C">
        <w:rPr>
          <w:rFonts w:cs="Times New Roman"/>
          <w:i/>
          <w:szCs w:val="24"/>
        </w:rPr>
        <w:t xml:space="preserve"> </w:t>
      </w:r>
      <w:proofErr w:type="spellStart"/>
      <w:r w:rsidRPr="00405D7C">
        <w:rPr>
          <w:rFonts w:cs="Times New Roman"/>
          <w:i/>
          <w:szCs w:val="24"/>
        </w:rPr>
        <w:t>sidoides</w:t>
      </w:r>
      <w:proofErr w:type="spellEnd"/>
      <w:r w:rsidRPr="00405D7C">
        <w:rPr>
          <w:rFonts w:cs="Times New Roman"/>
          <w:szCs w:val="24"/>
        </w:rPr>
        <w:t xml:space="preserve"> and </w:t>
      </w:r>
      <w:proofErr w:type="spellStart"/>
      <w:r w:rsidRPr="00405D7C">
        <w:rPr>
          <w:rFonts w:cs="Times New Roman"/>
          <w:i/>
          <w:szCs w:val="24"/>
        </w:rPr>
        <w:t>Mentha</w:t>
      </w:r>
      <w:proofErr w:type="spellEnd"/>
      <w:r w:rsidRPr="00405D7C">
        <w:rPr>
          <w:rFonts w:cs="Times New Roman"/>
          <w:i/>
          <w:szCs w:val="24"/>
        </w:rPr>
        <w:t xml:space="preserve"> </w:t>
      </w:r>
      <w:proofErr w:type="spellStart"/>
      <w:r w:rsidRPr="00405D7C">
        <w:rPr>
          <w:rFonts w:cs="Times New Roman"/>
          <w:i/>
          <w:szCs w:val="24"/>
        </w:rPr>
        <w:t>piperita</w:t>
      </w:r>
      <w:proofErr w:type="spellEnd"/>
      <w:r w:rsidRPr="00405D7C">
        <w:rPr>
          <w:rFonts w:cs="Times New Roman"/>
          <w:szCs w:val="24"/>
        </w:rPr>
        <w:t xml:space="preserve"> against monogenean parasites and their influence on the hematology of Nile tilapia. Aquaculture</w:t>
      </w:r>
      <w:r w:rsidR="0093528D" w:rsidRPr="00405D7C">
        <w:rPr>
          <w:rFonts w:cs="Times New Roman"/>
          <w:szCs w:val="24"/>
        </w:rPr>
        <w:t>.</w:t>
      </w:r>
      <w:r w:rsidRPr="00405D7C">
        <w:rPr>
          <w:rFonts w:cs="Times New Roman"/>
          <w:szCs w:val="24"/>
        </w:rPr>
        <w:t xml:space="preserve"> 450: 182–186.</w:t>
      </w:r>
      <w:r w:rsidR="0093528D" w:rsidRPr="00405D7C">
        <w:rPr>
          <w:rFonts w:cs="Times New Roman"/>
          <w:szCs w:val="24"/>
        </w:rPr>
        <w:t xml:space="preserve"> Available from: </w:t>
      </w:r>
      <w:hyperlink r:id="rId27" w:tgtFrame="_blank" w:tooltip="Persistent link using digital object identifier" w:history="1">
        <w:r w:rsidR="0093528D" w:rsidRPr="00405D7C">
          <w:rPr>
            <w:rStyle w:val="Hyperlink"/>
            <w:rFonts w:cs="Times New Roman"/>
            <w:color w:val="auto"/>
            <w:szCs w:val="24"/>
            <w:u w:val="none"/>
          </w:rPr>
          <w:t>https://doi.org/10.1016/j.aquaculture.2015.07.029</w:t>
        </w:r>
      </w:hyperlink>
    </w:p>
    <w:p w:rsidR="00CC65F4" w:rsidRPr="00405D7C" w:rsidRDefault="00405D7C">
      <w:pPr>
        <w:suppressLineNumbers/>
        <w:spacing w:after="0" w:line="240" w:lineRule="auto"/>
        <w:ind w:left="785" w:hangingChars="327" w:hanging="785"/>
        <w:rPr>
          <w:rFonts w:cs="Times New Roman"/>
          <w:szCs w:val="24"/>
        </w:rPr>
      </w:pPr>
      <w:r>
        <w:rPr>
          <w:rFonts w:cs="Times New Roman"/>
          <w:szCs w:val="24"/>
        </w:rPr>
        <w:t xml:space="preserve">Humphrey </w:t>
      </w:r>
      <w:r w:rsidR="009F6756" w:rsidRPr="00405D7C">
        <w:rPr>
          <w:rFonts w:cs="Times New Roman"/>
          <w:szCs w:val="24"/>
        </w:rPr>
        <w:t xml:space="preserve">BD, </w:t>
      </w:r>
      <w:proofErr w:type="spellStart"/>
      <w:r w:rsidR="009F6756" w:rsidRPr="00405D7C">
        <w:rPr>
          <w:rFonts w:cs="Times New Roman"/>
          <w:szCs w:val="24"/>
        </w:rPr>
        <w:t>Klasing</w:t>
      </w:r>
      <w:proofErr w:type="spellEnd"/>
      <w:r w:rsidR="009F6756" w:rsidRPr="00405D7C">
        <w:rPr>
          <w:rFonts w:cs="Times New Roman"/>
          <w:szCs w:val="24"/>
        </w:rPr>
        <w:t xml:space="preserve"> KC. 2003. Modulation of nutrient metabolism and homeostasis by the immune system. Proceedings of the European Symposium on Poultry Nutrition, August 10-14, 2003, Lillehammer, Norway. </w:t>
      </w:r>
    </w:p>
    <w:p w:rsidR="0093528D" w:rsidRPr="00405D7C" w:rsidRDefault="009F6756" w:rsidP="0093528D">
      <w:pPr>
        <w:suppressLineNumbers/>
        <w:spacing w:after="0" w:line="240" w:lineRule="auto"/>
        <w:ind w:left="785" w:hangingChars="327" w:hanging="785"/>
        <w:rPr>
          <w:rFonts w:cs="Times New Roman"/>
          <w:szCs w:val="24"/>
        </w:rPr>
      </w:pPr>
      <w:proofErr w:type="spellStart"/>
      <w:r w:rsidRPr="00405D7C">
        <w:rPr>
          <w:rFonts w:cs="Times New Roman"/>
          <w:szCs w:val="24"/>
        </w:rPr>
        <w:t>Huyghebaert</w:t>
      </w:r>
      <w:proofErr w:type="spellEnd"/>
      <w:r w:rsidRPr="00405D7C">
        <w:rPr>
          <w:rFonts w:cs="Times New Roman"/>
          <w:szCs w:val="24"/>
        </w:rPr>
        <w:t xml:space="preserve"> G, </w:t>
      </w:r>
      <w:proofErr w:type="spellStart"/>
      <w:r w:rsidRPr="00405D7C">
        <w:rPr>
          <w:rFonts w:cs="Times New Roman"/>
          <w:szCs w:val="24"/>
        </w:rPr>
        <w:t>Ducatelle</w:t>
      </w:r>
      <w:proofErr w:type="spellEnd"/>
      <w:r w:rsidRPr="00405D7C">
        <w:rPr>
          <w:rFonts w:cs="Times New Roman"/>
          <w:szCs w:val="24"/>
        </w:rPr>
        <w:t xml:space="preserve"> R, Van </w:t>
      </w:r>
      <w:proofErr w:type="spellStart"/>
      <w:r w:rsidRPr="00405D7C">
        <w:rPr>
          <w:rFonts w:cs="Times New Roman"/>
          <w:szCs w:val="24"/>
        </w:rPr>
        <w:t>Immerseel</w:t>
      </w:r>
      <w:proofErr w:type="spellEnd"/>
      <w:r w:rsidRPr="00405D7C">
        <w:rPr>
          <w:rFonts w:cs="Times New Roman"/>
          <w:szCs w:val="24"/>
        </w:rPr>
        <w:t xml:space="preserve"> F. 2011. An update on alternatives to antimicrobial growth promoters for broilers. Vet J</w:t>
      </w:r>
      <w:r w:rsidR="0093528D" w:rsidRPr="00405D7C">
        <w:rPr>
          <w:rFonts w:cs="Times New Roman"/>
          <w:szCs w:val="24"/>
        </w:rPr>
        <w:t>.</w:t>
      </w:r>
      <w:r w:rsidRPr="00405D7C">
        <w:rPr>
          <w:rFonts w:cs="Times New Roman"/>
          <w:szCs w:val="24"/>
        </w:rPr>
        <w:t xml:space="preserve"> 187</w:t>
      </w:r>
      <w:r w:rsidR="0093528D" w:rsidRPr="00405D7C">
        <w:rPr>
          <w:rFonts w:cs="Times New Roman"/>
          <w:szCs w:val="24"/>
        </w:rPr>
        <w:t>(2)</w:t>
      </w:r>
      <w:r w:rsidRPr="00405D7C">
        <w:rPr>
          <w:rFonts w:cs="Times New Roman"/>
          <w:szCs w:val="24"/>
        </w:rPr>
        <w:t>: 182–188.</w:t>
      </w:r>
      <w:r w:rsidR="0093528D" w:rsidRPr="00405D7C">
        <w:rPr>
          <w:rFonts w:cs="Times New Roman"/>
          <w:szCs w:val="24"/>
        </w:rPr>
        <w:t xml:space="preserve"> Available from: </w:t>
      </w:r>
      <w:hyperlink r:id="rId28" w:tgtFrame="_blank" w:tooltip="Persistent link using digital object identifier" w:history="1">
        <w:r w:rsidR="0093528D" w:rsidRPr="00405D7C">
          <w:rPr>
            <w:rStyle w:val="Hyperlink"/>
            <w:rFonts w:cs="Times New Roman"/>
            <w:color w:val="auto"/>
            <w:szCs w:val="24"/>
            <w:u w:val="none"/>
          </w:rPr>
          <w:t>https://doi.org/10.1016/j.tvjl.2010.03.003</w:t>
        </w:r>
      </w:hyperlink>
    </w:p>
    <w:p w:rsidR="0093528D" w:rsidRPr="00405D7C" w:rsidRDefault="009F6756" w:rsidP="0093528D">
      <w:pPr>
        <w:suppressLineNumbers/>
        <w:spacing w:after="0" w:line="240" w:lineRule="auto"/>
        <w:ind w:left="785" w:hangingChars="327" w:hanging="785"/>
        <w:rPr>
          <w:rFonts w:cs="Times New Roman"/>
          <w:szCs w:val="24"/>
        </w:rPr>
      </w:pPr>
      <w:proofErr w:type="spellStart"/>
      <w:r w:rsidRPr="00405D7C">
        <w:rPr>
          <w:rFonts w:cs="Times New Roman"/>
          <w:szCs w:val="24"/>
        </w:rPr>
        <w:t>Jamroz</w:t>
      </w:r>
      <w:proofErr w:type="spellEnd"/>
      <w:r w:rsidRPr="00405D7C">
        <w:rPr>
          <w:rFonts w:cs="Times New Roman"/>
          <w:szCs w:val="24"/>
        </w:rPr>
        <w:t xml:space="preserve"> D, </w:t>
      </w:r>
      <w:proofErr w:type="spellStart"/>
      <w:r w:rsidRPr="00405D7C">
        <w:rPr>
          <w:rFonts w:cs="Times New Roman"/>
          <w:szCs w:val="24"/>
        </w:rPr>
        <w:t>Wertelecki</w:t>
      </w:r>
      <w:proofErr w:type="spellEnd"/>
      <w:r w:rsidRPr="00405D7C">
        <w:rPr>
          <w:rFonts w:cs="Times New Roman"/>
          <w:szCs w:val="24"/>
        </w:rPr>
        <w:t xml:space="preserve"> T, </w:t>
      </w:r>
      <w:proofErr w:type="spellStart"/>
      <w:r w:rsidRPr="00405D7C">
        <w:rPr>
          <w:rFonts w:cs="Times New Roman"/>
          <w:szCs w:val="24"/>
        </w:rPr>
        <w:t>Houszka</w:t>
      </w:r>
      <w:proofErr w:type="spellEnd"/>
      <w:r w:rsidRPr="00405D7C">
        <w:rPr>
          <w:rFonts w:cs="Times New Roman"/>
          <w:szCs w:val="24"/>
        </w:rPr>
        <w:t xml:space="preserve"> M, </w:t>
      </w:r>
      <w:proofErr w:type="spellStart"/>
      <w:r w:rsidRPr="00405D7C">
        <w:rPr>
          <w:rFonts w:cs="Times New Roman"/>
          <w:szCs w:val="24"/>
        </w:rPr>
        <w:t>Kamel</w:t>
      </w:r>
      <w:proofErr w:type="spellEnd"/>
      <w:r w:rsidRPr="00405D7C">
        <w:rPr>
          <w:rFonts w:cs="Times New Roman"/>
          <w:szCs w:val="24"/>
        </w:rPr>
        <w:t xml:space="preserve"> C. 2006. Influence of diet type on the inclusion of plant origin active substances on morphological and histochemical characteristics of the stomach and jejunum walls in chicken. J </w:t>
      </w:r>
      <w:proofErr w:type="spellStart"/>
      <w:r w:rsidRPr="00405D7C">
        <w:rPr>
          <w:rFonts w:cs="Times New Roman"/>
          <w:szCs w:val="24"/>
        </w:rPr>
        <w:t>Anim</w:t>
      </w:r>
      <w:proofErr w:type="spellEnd"/>
      <w:r w:rsidRPr="00405D7C">
        <w:rPr>
          <w:rFonts w:cs="Times New Roman"/>
          <w:szCs w:val="24"/>
        </w:rPr>
        <w:t xml:space="preserve"> </w:t>
      </w:r>
      <w:proofErr w:type="spellStart"/>
      <w:r w:rsidRPr="00405D7C">
        <w:rPr>
          <w:rFonts w:cs="Times New Roman"/>
          <w:szCs w:val="24"/>
        </w:rPr>
        <w:t>Physiol</w:t>
      </w:r>
      <w:proofErr w:type="spellEnd"/>
      <w:r w:rsidRPr="00405D7C">
        <w:rPr>
          <w:rFonts w:cs="Times New Roman"/>
          <w:szCs w:val="24"/>
        </w:rPr>
        <w:t xml:space="preserve"> </w:t>
      </w:r>
      <w:proofErr w:type="spellStart"/>
      <w:r w:rsidRPr="00405D7C">
        <w:rPr>
          <w:rFonts w:cs="Times New Roman"/>
          <w:szCs w:val="24"/>
        </w:rPr>
        <w:t>Anim</w:t>
      </w:r>
      <w:proofErr w:type="spellEnd"/>
      <w:r w:rsidRPr="00405D7C">
        <w:rPr>
          <w:rFonts w:cs="Times New Roman"/>
          <w:szCs w:val="24"/>
        </w:rPr>
        <w:t xml:space="preserve"> </w:t>
      </w:r>
      <w:proofErr w:type="spellStart"/>
      <w:r w:rsidRPr="00405D7C">
        <w:rPr>
          <w:rFonts w:cs="Times New Roman"/>
          <w:szCs w:val="24"/>
        </w:rPr>
        <w:t>Nutr</w:t>
      </w:r>
      <w:proofErr w:type="spellEnd"/>
      <w:r w:rsidR="0093528D" w:rsidRPr="00405D7C">
        <w:rPr>
          <w:rFonts w:cs="Times New Roman"/>
          <w:szCs w:val="24"/>
        </w:rPr>
        <w:t>.</w:t>
      </w:r>
      <w:r w:rsidRPr="00405D7C">
        <w:rPr>
          <w:rFonts w:cs="Times New Roman"/>
          <w:szCs w:val="24"/>
        </w:rPr>
        <w:t xml:space="preserve"> 90</w:t>
      </w:r>
      <w:r w:rsidR="0093528D" w:rsidRPr="00405D7C">
        <w:rPr>
          <w:rFonts w:cs="Times New Roman"/>
          <w:szCs w:val="24"/>
        </w:rPr>
        <w:t>(5-6)</w:t>
      </w:r>
      <w:r w:rsidRPr="00405D7C">
        <w:rPr>
          <w:rFonts w:cs="Times New Roman"/>
          <w:szCs w:val="24"/>
        </w:rPr>
        <w:t>: 255–268.</w:t>
      </w:r>
      <w:r w:rsidR="0093528D" w:rsidRPr="00405D7C">
        <w:rPr>
          <w:rFonts w:cs="Times New Roman"/>
          <w:szCs w:val="24"/>
        </w:rPr>
        <w:t xml:space="preserve"> Available from: https://doi.org/10.1111/j.1439-0396.2005.00603.x</w:t>
      </w:r>
    </w:p>
    <w:p w:rsidR="0093528D" w:rsidRPr="00405D7C" w:rsidRDefault="009F6756" w:rsidP="0093528D">
      <w:pPr>
        <w:suppressLineNumbers/>
        <w:spacing w:after="0" w:line="240" w:lineRule="auto"/>
        <w:ind w:left="785" w:hangingChars="327" w:hanging="785"/>
        <w:rPr>
          <w:rFonts w:cs="Times New Roman"/>
          <w:szCs w:val="24"/>
        </w:rPr>
      </w:pPr>
      <w:r w:rsidRPr="00405D7C">
        <w:rPr>
          <w:rFonts w:cs="Times New Roman"/>
          <w:szCs w:val="24"/>
        </w:rPr>
        <w:t xml:space="preserve">Jang IS, </w:t>
      </w:r>
      <w:proofErr w:type="spellStart"/>
      <w:r w:rsidRPr="00405D7C">
        <w:rPr>
          <w:rFonts w:cs="Times New Roman"/>
          <w:szCs w:val="24"/>
        </w:rPr>
        <w:t>Ko</w:t>
      </w:r>
      <w:proofErr w:type="spellEnd"/>
      <w:r w:rsidRPr="00405D7C">
        <w:rPr>
          <w:rFonts w:cs="Times New Roman"/>
          <w:szCs w:val="24"/>
        </w:rPr>
        <w:t xml:space="preserve"> YH, Yang HY, Ha JS, Kim JY, Kim JY, Kang SY, </w:t>
      </w:r>
      <w:proofErr w:type="spellStart"/>
      <w:r w:rsidRPr="00405D7C">
        <w:rPr>
          <w:rFonts w:cs="Times New Roman"/>
          <w:szCs w:val="24"/>
        </w:rPr>
        <w:t>Yoo</w:t>
      </w:r>
      <w:proofErr w:type="spellEnd"/>
      <w:r w:rsidRPr="00405D7C">
        <w:rPr>
          <w:rFonts w:cs="Times New Roman"/>
          <w:szCs w:val="24"/>
        </w:rPr>
        <w:t xml:space="preserve"> DH, Nam DS, Kim DH, Lee CY. 2004. Influence of essential oil components on growth performance and the functional activity of the pancreas and small intestine in broiler chickens. Asian–</w:t>
      </w:r>
      <w:r w:rsidRPr="00405D7C">
        <w:rPr>
          <w:rFonts w:cs="Times New Roman"/>
          <w:szCs w:val="24"/>
        </w:rPr>
        <w:lastRenderedPageBreak/>
        <w:t xml:space="preserve">Australasian J </w:t>
      </w:r>
      <w:proofErr w:type="spellStart"/>
      <w:r w:rsidRPr="00405D7C">
        <w:rPr>
          <w:rFonts w:cs="Times New Roman"/>
          <w:szCs w:val="24"/>
        </w:rPr>
        <w:t>Anim</w:t>
      </w:r>
      <w:proofErr w:type="spellEnd"/>
      <w:r w:rsidRPr="00405D7C">
        <w:rPr>
          <w:rFonts w:cs="Times New Roman"/>
          <w:szCs w:val="24"/>
        </w:rPr>
        <w:t xml:space="preserve"> Sci</w:t>
      </w:r>
      <w:r w:rsidR="0093528D" w:rsidRPr="00405D7C">
        <w:rPr>
          <w:rFonts w:cs="Times New Roman"/>
          <w:szCs w:val="24"/>
        </w:rPr>
        <w:t>.</w:t>
      </w:r>
      <w:r w:rsidRPr="00405D7C">
        <w:rPr>
          <w:rFonts w:cs="Times New Roman"/>
          <w:szCs w:val="24"/>
        </w:rPr>
        <w:t xml:space="preserve"> 17</w:t>
      </w:r>
      <w:r w:rsidR="0093528D" w:rsidRPr="00405D7C">
        <w:rPr>
          <w:rFonts w:cs="Times New Roman"/>
          <w:szCs w:val="24"/>
        </w:rPr>
        <w:t>(3)</w:t>
      </w:r>
      <w:r w:rsidRPr="00405D7C">
        <w:rPr>
          <w:rFonts w:cs="Times New Roman"/>
          <w:szCs w:val="24"/>
        </w:rPr>
        <w:t>: 394–400.</w:t>
      </w:r>
      <w:r w:rsidR="0093528D" w:rsidRPr="00405D7C">
        <w:rPr>
          <w:rFonts w:cs="Times New Roman"/>
          <w:szCs w:val="24"/>
        </w:rPr>
        <w:t xml:space="preserve"> Available from: </w:t>
      </w:r>
      <w:hyperlink r:id="rId29" w:history="1">
        <w:r w:rsidR="0093528D" w:rsidRPr="00405D7C">
          <w:rPr>
            <w:rStyle w:val="Hyperlink"/>
            <w:rFonts w:cs="Times New Roman"/>
            <w:color w:val="auto"/>
            <w:szCs w:val="24"/>
            <w:u w:val="none"/>
            <w:bdr w:val="none" w:sz="0" w:space="0" w:color="auto" w:frame="1"/>
            <w:shd w:val="clear" w:color="auto" w:fill="FFFFFF"/>
          </w:rPr>
          <w:t>https://doi.org/10.5713/ajas.2004.394</w:t>
        </w:r>
      </w:hyperlink>
      <w:r w:rsidR="0093528D" w:rsidRPr="00405D7C">
        <w:rPr>
          <w:rFonts w:cs="Times New Roman"/>
          <w:szCs w:val="24"/>
          <w:shd w:val="clear" w:color="auto" w:fill="FFFFFF"/>
        </w:rPr>
        <w:t>  </w:t>
      </w:r>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Jayaprakas</w:t>
      </w:r>
      <w:proofErr w:type="spellEnd"/>
      <w:r w:rsidRPr="00405D7C">
        <w:rPr>
          <w:rFonts w:cs="Times New Roman"/>
          <w:szCs w:val="24"/>
        </w:rPr>
        <w:t xml:space="preserve"> V, </w:t>
      </w:r>
      <w:proofErr w:type="spellStart"/>
      <w:r w:rsidRPr="00405D7C">
        <w:rPr>
          <w:rFonts w:cs="Times New Roman"/>
          <w:szCs w:val="24"/>
        </w:rPr>
        <w:t>Euphrasia</w:t>
      </w:r>
      <w:proofErr w:type="spellEnd"/>
      <w:r w:rsidRPr="00405D7C">
        <w:rPr>
          <w:rFonts w:cs="Times New Roman"/>
          <w:szCs w:val="24"/>
        </w:rPr>
        <w:t xml:space="preserve"> J. 1996. Growth performance of </w:t>
      </w:r>
      <w:proofErr w:type="spellStart"/>
      <w:r w:rsidRPr="00405D7C">
        <w:rPr>
          <w:rFonts w:cs="Times New Roman"/>
          <w:i/>
          <w:szCs w:val="24"/>
        </w:rPr>
        <w:t>Labeo</w:t>
      </w:r>
      <w:proofErr w:type="spellEnd"/>
      <w:r w:rsidRPr="00405D7C">
        <w:rPr>
          <w:rFonts w:cs="Times New Roman"/>
          <w:i/>
          <w:szCs w:val="24"/>
        </w:rPr>
        <w:t xml:space="preserve"> </w:t>
      </w:r>
      <w:proofErr w:type="spellStart"/>
      <w:r w:rsidRPr="00405D7C">
        <w:rPr>
          <w:rFonts w:cs="Times New Roman"/>
          <w:i/>
          <w:szCs w:val="24"/>
        </w:rPr>
        <w:t>rohita</w:t>
      </w:r>
      <w:proofErr w:type="spellEnd"/>
      <w:r w:rsidRPr="00405D7C">
        <w:rPr>
          <w:rFonts w:cs="Times New Roman"/>
          <w:szCs w:val="24"/>
        </w:rPr>
        <w:t xml:space="preserve"> (Ham.) to </w:t>
      </w:r>
      <w:proofErr w:type="spellStart"/>
      <w:r w:rsidRPr="00405D7C">
        <w:rPr>
          <w:rFonts w:cs="Times New Roman"/>
          <w:szCs w:val="24"/>
        </w:rPr>
        <w:t>Livol</w:t>
      </w:r>
      <w:proofErr w:type="spellEnd"/>
      <w:r w:rsidRPr="00405D7C">
        <w:rPr>
          <w:rFonts w:cs="Times New Roman"/>
          <w:szCs w:val="24"/>
        </w:rPr>
        <w:t xml:space="preserve"> (IHF-1000), </w:t>
      </w:r>
      <w:proofErr w:type="gramStart"/>
      <w:r w:rsidRPr="00405D7C">
        <w:rPr>
          <w:rFonts w:cs="Times New Roman"/>
          <w:szCs w:val="24"/>
        </w:rPr>
        <w:t>a</w:t>
      </w:r>
      <w:proofErr w:type="gramEnd"/>
      <w:r w:rsidRPr="00405D7C">
        <w:rPr>
          <w:rFonts w:cs="Times New Roman"/>
          <w:szCs w:val="24"/>
        </w:rPr>
        <w:t xml:space="preserve"> herbal product. </w:t>
      </w:r>
      <w:proofErr w:type="spellStart"/>
      <w:r w:rsidRPr="00405D7C">
        <w:rPr>
          <w:rFonts w:cs="Times New Roman"/>
          <w:szCs w:val="24"/>
        </w:rPr>
        <w:t>Proc</w:t>
      </w:r>
      <w:proofErr w:type="spellEnd"/>
      <w:r w:rsidRPr="00405D7C">
        <w:rPr>
          <w:rFonts w:cs="Times New Roman"/>
          <w:szCs w:val="24"/>
        </w:rPr>
        <w:t xml:space="preserve"> Indian Natl </w:t>
      </w:r>
      <w:proofErr w:type="spellStart"/>
      <w:r w:rsidRPr="00405D7C">
        <w:rPr>
          <w:rFonts w:cs="Times New Roman"/>
          <w:szCs w:val="24"/>
        </w:rPr>
        <w:t>Sci</w:t>
      </w:r>
      <w:proofErr w:type="spellEnd"/>
      <w:r w:rsidRPr="00405D7C">
        <w:rPr>
          <w:rFonts w:cs="Times New Roman"/>
          <w:szCs w:val="24"/>
        </w:rPr>
        <w:t xml:space="preserve"> </w:t>
      </w:r>
      <w:proofErr w:type="spellStart"/>
      <w:r w:rsidRPr="00405D7C">
        <w:rPr>
          <w:rFonts w:cs="Times New Roman"/>
          <w:szCs w:val="24"/>
        </w:rPr>
        <w:t>Acad</w:t>
      </w:r>
      <w:proofErr w:type="spellEnd"/>
      <w:r w:rsidRPr="00405D7C">
        <w:rPr>
          <w:rFonts w:cs="Times New Roman"/>
          <w:szCs w:val="24"/>
        </w:rPr>
        <w:t xml:space="preserve"> B</w:t>
      </w:r>
      <w:r w:rsidR="0093528D" w:rsidRPr="00405D7C">
        <w:rPr>
          <w:rFonts w:cs="Times New Roman"/>
          <w:szCs w:val="24"/>
        </w:rPr>
        <w:t>.</w:t>
      </w:r>
      <w:r w:rsidRPr="00405D7C">
        <w:rPr>
          <w:rFonts w:cs="Times New Roman"/>
          <w:szCs w:val="24"/>
        </w:rPr>
        <w:t xml:space="preserve"> 63: 1–10.</w:t>
      </w:r>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t>Jones FA. 1996. Herb-useful plants. Their role in history and tod</w:t>
      </w:r>
      <w:r w:rsidR="0093528D" w:rsidRPr="00405D7C">
        <w:rPr>
          <w:rFonts w:cs="Times New Roman"/>
          <w:szCs w:val="24"/>
        </w:rPr>
        <w:t xml:space="preserve">ay. </w:t>
      </w:r>
      <w:proofErr w:type="spellStart"/>
      <w:r w:rsidR="0093528D" w:rsidRPr="00405D7C">
        <w:rPr>
          <w:rFonts w:cs="Times New Roman"/>
          <w:szCs w:val="24"/>
        </w:rPr>
        <w:t>Eur</w:t>
      </w:r>
      <w:proofErr w:type="spellEnd"/>
      <w:r w:rsidR="0093528D" w:rsidRPr="00405D7C">
        <w:rPr>
          <w:rFonts w:cs="Times New Roman"/>
          <w:szCs w:val="24"/>
        </w:rPr>
        <w:t xml:space="preserve"> J </w:t>
      </w:r>
      <w:proofErr w:type="spellStart"/>
      <w:r w:rsidR="0093528D" w:rsidRPr="00405D7C">
        <w:rPr>
          <w:rFonts w:cs="Times New Roman"/>
          <w:szCs w:val="24"/>
        </w:rPr>
        <w:t>Gastroenterol</w:t>
      </w:r>
      <w:proofErr w:type="spellEnd"/>
      <w:r w:rsidR="0093528D" w:rsidRPr="00405D7C">
        <w:rPr>
          <w:rFonts w:cs="Times New Roman"/>
          <w:szCs w:val="24"/>
        </w:rPr>
        <w:t xml:space="preserve"> </w:t>
      </w:r>
      <w:proofErr w:type="spellStart"/>
      <w:r w:rsidR="0093528D" w:rsidRPr="00405D7C">
        <w:rPr>
          <w:rFonts w:cs="Times New Roman"/>
          <w:szCs w:val="24"/>
        </w:rPr>
        <w:t>Hepatol</w:t>
      </w:r>
      <w:proofErr w:type="spellEnd"/>
      <w:r w:rsidR="0093528D" w:rsidRPr="00405D7C">
        <w:rPr>
          <w:rFonts w:cs="Times New Roman"/>
          <w:szCs w:val="24"/>
        </w:rPr>
        <w:t>.</w:t>
      </w:r>
      <w:r w:rsidRPr="00405D7C">
        <w:rPr>
          <w:rFonts w:cs="Times New Roman"/>
          <w:szCs w:val="24"/>
        </w:rPr>
        <w:t xml:space="preserve"> 8: 1227–1231.</w:t>
      </w:r>
    </w:p>
    <w:p w:rsidR="0093528D" w:rsidRPr="00405D7C" w:rsidRDefault="009F6756" w:rsidP="0093528D">
      <w:pPr>
        <w:suppressLineNumbers/>
        <w:spacing w:after="0" w:line="240" w:lineRule="auto"/>
        <w:ind w:left="785" w:hangingChars="327" w:hanging="785"/>
        <w:rPr>
          <w:rFonts w:cs="Times New Roman"/>
          <w:szCs w:val="24"/>
        </w:rPr>
      </w:pPr>
      <w:proofErr w:type="spellStart"/>
      <w:r w:rsidRPr="00405D7C">
        <w:rPr>
          <w:rFonts w:cs="Times New Roman"/>
          <w:szCs w:val="24"/>
        </w:rPr>
        <w:t>Kajita</w:t>
      </w:r>
      <w:proofErr w:type="spellEnd"/>
      <w:r w:rsidRPr="00405D7C">
        <w:rPr>
          <w:rFonts w:cs="Times New Roman"/>
          <w:szCs w:val="24"/>
        </w:rPr>
        <w:t xml:space="preserve"> Y, Sakai M, Atsuta S, Kobayashi M. 1990. The immunomodulatory effects of levamisole on rainbow trout, </w:t>
      </w:r>
      <w:proofErr w:type="spellStart"/>
      <w:r w:rsidRPr="00405D7C">
        <w:rPr>
          <w:rFonts w:cs="Times New Roman"/>
          <w:i/>
          <w:szCs w:val="24"/>
        </w:rPr>
        <w:t>Oncorhynchus</w:t>
      </w:r>
      <w:proofErr w:type="spellEnd"/>
      <w:r w:rsidRPr="00405D7C">
        <w:rPr>
          <w:rFonts w:cs="Times New Roman"/>
          <w:i/>
          <w:szCs w:val="24"/>
        </w:rPr>
        <w:t xml:space="preserve"> mykiss</w:t>
      </w:r>
      <w:r w:rsidRPr="00405D7C">
        <w:rPr>
          <w:rFonts w:cs="Times New Roman"/>
          <w:szCs w:val="24"/>
        </w:rPr>
        <w:t xml:space="preserve">. Fish </w:t>
      </w:r>
      <w:proofErr w:type="spellStart"/>
      <w:r w:rsidRPr="00405D7C">
        <w:rPr>
          <w:rFonts w:cs="Times New Roman"/>
          <w:szCs w:val="24"/>
        </w:rPr>
        <w:t>Pathol</w:t>
      </w:r>
      <w:proofErr w:type="spellEnd"/>
      <w:r w:rsidR="0093528D" w:rsidRPr="00405D7C">
        <w:rPr>
          <w:rFonts w:cs="Times New Roman"/>
          <w:szCs w:val="24"/>
        </w:rPr>
        <w:t>.</w:t>
      </w:r>
      <w:r w:rsidRPr="00405D7C">
        <w:rPr>
          <w:rFonts w:cs="Times New Roman"/>
          <w:szCs w:val="24"/>
        </w:rPr>
        <w:t xml:space="preserve"> 25</w:t>
      </w:r>
      <w:r w:rsidR="0093528D" w:rsidRPr="00405D7C">
        <w:rPr>
          <w:rFonts w:cs="Times New Roman"/>
          <w:szCs w:val="24"/>
        </w:rPr>
        <w:t>(2)</w:t>
      </w:r>
      <w:r w:rsidRPr="00405D7C">
        <w:rPr>
          <w:rFonts w:cs="Times New Roman"/>
          <w:szCs w:val="24"/>
        </w:rPr>
        <w:t>: 93–98.</w:t>
      </w:r>
      <w:r w:rsidR="0093528D" w:rsidRPr="00405D7C">
        <w:rPr>
          <w:rFonts w:cs="Times New Roman"/>
          <w:szCs w:val="24"/>
        </w:rPr>
        <w:t xml:space="preserve"> Available from: </w:t>
      </w:r>
      <w:hyperlink r:id="rId30" w:history="1">
        <w:r w:rsidR="0093528D" w:rsidRPr="00405D7C">
          <w:rPr>
            <w:rStyle w:val="Hyperlink"/>
            <w:rFonts w:eastAsia="Meiryo" w:cs="Times New Roman"/>
            <w:color w:val="auto"/>
            <w:szCs w:val="24"/>
            <w:u w:val="none"/>
            <w:bdr w:val="none" w:sz="0" w:space="0" w:color="auto" w:frame="1"/>
          </w:rPr>
          <w:t>https://doi.org/10.3147/jsfp.25.93</w:t>
        </w:r>
      </w:hyperlink>
    </w:p>
    <w:p w:rsidR="0093528D" w:rsidRPr="00405D7C" w:rsidRDefault="009F6756" w:rsidP="00B87246">
      <w:pPr>
        <w:suppressLineNumbers/>
        <w:spacing w:after="0" w:line="240" w:lineRule="auto"/>
        <w:ind w:left="785" w:hangingChars="327" w:hanging="785"/>
        <w:rPr>
          <w:rFonts w:cs="Times New Roman"/>
          <w:szCs w:val="24"/>
        </w:rPr>
      </w:pPr>
      <w:proofErr w:type="spellStart"/>
      <w:r w:rsidRPr="00405D7C">
        <w:rPr>
          <w:rFonts w:cs="Times New Roman"/>
          <w:szCs w:val="24"/>
        </w:rPr>
        <w:t>Kohlert</w:t>
      </w:r>
      <w:proofErr w:type="spellEnd"/>
      <w:r w:rsidRPr="00405D7C">
        <w:rPr>
          <w:rFonts w:cs="Times New Roman"/>
          <w:szCs w:val="24"/>
        </w:rPr>
        <w:t xml:space="preserve"> C, van </w:t>
      </w:r>
      <w:proofErr w:type="spellStart"/>
      <w:r w:rsidRPr="00405D7C">
        <w:rPr>
          <w:rFonts w:cs="Times New Roman"/>
          <w:szCs w:val="24"/>
        </w:rPr>
        <w:t>Rensen</w:t>
      </w:r>
      <w:proofErr w:type="spellEnd"/>
      <w:r w:rsidRPr="00405D7C">
        <w:rPr>
          <w:rFonts w:cs="Times New Roman"/>
          <w:szCs w:val="24"/>
        </w:rPr>
        <w:t xml:space="preserve"> I, </w:t>
      </w:r>
      <w:proofErr w:type="spellStart"/>
      <w:r w:rsidRPr="00405D7C">
        <w:rPr>
          <w:rFonts w:cs="Times New Roman"/>
          <w:szCs w:val="24"/>
        </w:rPr>
        <w:t>Marz</w:t>
      </w:r>
      <w:proofErr w:type="spellEnd"/>
      <w:r w:rsidRPr="00405D7C">
        <w:rPr>
          <w:rFonts w:cs="Times New Roman"/>
          <w:szCs w:val="24"/>
        </w:rPr>
        <w:t xml:space="preserve"> R, Schindler G, </w:t>
      </w:r>
      <w:proofErr w:type="spellStart"/>
      <w:r w:rsidRPr="00405D7C">
        <w:rPr>
          <w:rFonts w:cs="Times New Roman"/>
          <w:szCs w:val="24"/>
        </w:rPr>
        <w:t>Graefe</w:t>
      </w:r>
      <w:proofErr w:type="spellEnd"/>
      <w:r w:rsidRPr="00405D7C">
        <w:rPr>
          <w:rFonts w:cs="Times New Roman"/>
          <w:szCs w:val="24"/>
        </w:rPr>
        <w:t xml:space="preserve"> EU, </w:t>
      </w:r>
      <w:proofErr w:type="spellStart"/>
      <w:r w:rsidRPr="00405D7C">
        <w:rPr>
          <w:rFonts w:cs="Times New Roman"/>
          <w:szCs w:val="24"/>
        </w:rPr>
        <w:t>Veit</w:t>
      </w:r>
      <w:proofErr w:type="spellEnd"/>
      <w:r w:rsidRPr="00405D7C">
        <w:rPr>
          <w:rFonts w:cs="Times New Roman"/>
          <w:szCs w:val="24"/>
        </w:rPr>
        <w:t xml:space="preserve"> M. 2000. Bioavailability and pharmacokinetics of natural volatile terpenes in animals and humans. Planta </w:t>
      </w:r>
      <w:proofErr w:type="spellStart"/>
      <w:r w:rsidRPr="00405D7C">
        <w:rPr>
          <w:rFonts w:cs="Times New Roman"/>
          <w:szCs w:val="24"/>
        </w:rPr>
        <w:t>Medica</w:t>
      </w:r>
      <w:proofErr w:type="spellEnd"/>
      <w:r w:rsidR="0093528D" w:rsidRPr="00405D7C">
        <w:rPr>
          <w:rFonts w:cs="Times New Roman"/>
          <w:szCs w:val="24"/>
        </w:rPr>
        <w:t>.</w:t>
      </w:r>
      <w:r w:rsidRPr="00405D7C">
        <w:rPr>
          <w:rFonts w:cs="Times New Roman"/>
          <w:szCs w:val="24"/>
        </w:rPr>
        <w:t xml:space="preserve"> 66</w:t>
      </w:r>
      <w:r w:rsidR="0093528D" w:rsidRPr="00405D7C">
        <w:rPr>
          <w:rFonts w:cs="Times New Roman"/>
          <w:szCs w:val="24"/>
        </w:rPr>
        <w:t>(6)</w:t>
      </w:r>
      <w:r w:rsidRPr="00405D7C">
        <w:rPr>
          <w:rFonts w:cs="Times New Roman"/>
          <w:szCs w:val="24"/>
        </w:rPr>
        <w:t>: 495–505.</w:t>
      </w:r>
      <w:r w:rsidR="00B87246" w:rsidRPr="00405D7C">
        <w:rPr>
          <w:rFonts w:cs="Times New Roman"/>
          <w:szCs w:val="24"/>
        </w:rPr>
        <w:t xml:space="preserve"> Available from: https://doi.org/</w:t>
      </w:r>
      <w:r w:rsidR="0093528D" w:rsidRPr="00405D7C">
        <w:rPr>
          <w:rFonts w:cs="Times New Roman"/>
          <w:szCs w:val="24"/>
        </w:rPr>
        <w:t>10.1055/s-2000-8616</w:t>
      </w:r>
    </w:p>
    <w:p w:rsidR="00B87246" w:rsidRPr="00405D7C" w:rsidRDefault="009F6756" w:rsidP="00B87246">
      <w:pPr>
        <w:suppressLineNumbers/>
        <w:spacing w:after="0" w:line="240" w:lineRule="auto"/>
        <w:ind w:left="785" w:hangingChars="327" w:hanging="785"/>
        <w:rPr>
          <w:rFonts w:cs="Times New Roman"/>
          <w:szCs w:val="24"/>
        </w:rPr>
      </w:pPr>
      <w:proofErr w:type="spellStart"/>
      <w:r w:rsidRPr="00405D7C">
        <w:rPr>
          <w:rFonts w:cs="Times New Roman"/>
          <w:szCs w:val="24"/>
        </w:rPr>
        <w:t>Laparra</w:t>
      </w:r>
      <w:proofErr w:type="spellEnd"/>
      <w:r w:rsidRPr="00405D7C">
        <w:rPr>
          <w:rFonts w:cs="Times New Roman"/>
          <w:szCs w:val="24"/>
        </w:rPr>
        <w:t xml:space="preserve"> JM, </w:t>
      </w:r>
      <w:proofErr w:type="spellStart"/>
      <w:r w:rsidRPr="00405D7C">
        <w:rPr>
          <w:rFonts w:cs="Times New Roman"/>
          <w:szCs w:val="24"/>
        </w:rPr>
        <w:t>Sanz</w:t>
      </w:r>
      <w:proofErr w:type="spellEnd"/>
      <w:r w:rsidRPr="00405D7C">
        <w:rPr>
          <w:rFonts w:cs="Times New Roman"/>
          <w:szCs w:val="24"/>
        </w:rPr>
        <w:t xml:space="preserve"> Y. 2010. Interactions of gut microbiota with functional food components and nutraceuticals. </w:t>
      </w:r>
      <w:proofErr w:type="spellStart"/>
      <w:r w:rsidRPr="00405D7C">
        <w:rPr>
          <w:rFonts w:cs="Times New Roman"/>
          <w:szCs w:val="24"/>
        </w:rPr>
        <w:t>Pharmacol</w:t>
      </w:r>
      <w:proofErr w:type="spellEnd"/>
      <w:r w:rsidRPr="00405D7C">
        <w:rPr>
          <w:rFonts w:cs="Times New Roman"/>
          <w:szCs w:val="24"/>
        </w:rPr>
        <w:t xml:space="preserve"> Res</w:t>
      </w:r>
      <w:r w:rsidR="00B87246" w:rsidRPr="00405D7C">
        <w:rPr>
          <w:rFonts w:cs="Times New Roman"/>
          <w:szCs w:val="24"/>
        </w:rPr>
        <w:t>.</w:t>
      </w:r>
      <w:r w:rsidRPr="00405D7C">
        <w:rPr>
          <w:rFonts w:cs="Times New Roman"/>
          <w:szCs w:val="24"/>
        </w:rPr>
        <w:t xml:space="preserve"> 61</w:t>
      </w:r>
      <w:r w:rsidR="00B87246" w:rsidRPr="00405D7C">
        <w:rPr>
          <w:rFonts w:cs="Times New Roman"/>
          <w:szCs w:val="24"/>
        </w:rPr>
        <w:t>(3)</w:t>
      </w:r>
      <w:r w:rsidRPr="00405D7C">
        <w:rPr>
          <w:rFonts w:cs="Times New Roman"/>
          <w:szCs w:val="24"/>
        </w:rPr>
        <w:t>: 219–225.</w:t>
      </w:r>
      <w:r w:rsidR="00B87246" w:rsidRPr="00405D7C">
        <w:rPr>
          <w:rFonts w:cs="Times New Roman"/>
          <w:szCs w:val="24"/>
        </w:rPr>
        <w:t xml:space="preserve"> Available from: </w:t>
      </w:r>
      <w:hyperlink r:id="rId31" w:tgtFrame="_blank" w:tooltip="Persistent link using digital object identifier" w:history="1">
        <w:r w:rsidR="00B87246" w:rsidRPr="00405D7C">
          <w:rPr>
            <w:rStyle w:val="Hyperlink"/>
            <w:rFonts w:cs="Times New Roman"/>
            <w:color w:val="auto"/>
            <w:szCs w:val="24"/>
            <w:u w:val="none"/>
          </w:rPr>
          <w:t>https://doi.org/10.1016/j.phrs.2009.11.001</w:t>
        </w:r>
      </w:hyperlink>
    </w:p>
    <w:p w:rsidR="00EA4439" w:rsidRPr="00405D7C" w:rsidRDefault="009F6756" w:rsidP="00EA4439">
      <w:pPr>
        <w:suppressLineNumbers/>
        <w:spacing w:after="0" w:line="240" w:lineRule="auto"/>
        <w:ind w:left="785" w:hangingChars="327" w:hanging="785"/>
        <w:rPr>
          <w:rFonts w:cs="Times New Roman"/>
          <w:szCs w:val="24"/>
        </w:rPr>
      </w:pPr>
      <w:proofErr w:type="spellStart"/>
      <w:r w:rsidRPr="00405D7C">
        <w:rPr>
          <w:rFonts w:cs="Times New Roman"/>
          <w:szCs w:val="24"/>
        </w:rPr>
        <w:t>Laudadio</w:t>
      </w:r>
      <w:proofErr w:type="spellEnd"/>
      <w:r w:rsidRPr="00405D7C">
        <w:rPr>
          <w:rFonts w:cs="Times New Roman"/>
          <w:szCs w:val="24"/>
        </w:rPr>
        <w:t xml:space="preserve"> V, </w:t>
      </w:r>
      <w:proofErr w:type="spellStart"/>
      <w:r w:rsidRPr="00405D7C">
        <w:rPr>
          <w:rFonts w:cs="Times New Roman"/>
          <w:szCs w:val="24"/>
        </w:rPr>
        <w:t>Dambrosio</w:t>
      </w:r>
      <w:proofErr w:type="spellEnd"/>
      <w:r w:rsidRPr="00405D7C">
        <w:rPr>
          <w:rFonts w:cs="Times New Roman"/>
          <w:szCs w:val="24"/>
        </w:rPr>
        <w:t xml:space="preserve"> A, </w:t>
      </w:r>
      <w:proofErr w:type="spellStart"/>
      <w:r w:rsidRPr="00405D7C">
        <w:rPr>
          <w:rFonts w:cs="Times New Roman"/>
          <w:szCs w:val="24"/>
        </w:rPr>
        <w:t>Normanno</w:t>
      </w:r>
      <w:proofErr w:type="spellEnd"/>
      <w:r w:rsidRPr="00405D7C">
        <w:rPr>
          <w:rFonts w:cs="Times New Roman"/>
          <w:szCs w:val="24"/>
        </w:rPr>
        <w:t xml:space="preserve"> G, Khan RU, </w:t>
      </w:r>
      <w:proofErr w:type="spellStart"/>
      <w:r w:rsidRPr="00405D7C">
        <w:rPr>
          <w:rFonts w:cs="Times New Roman"/>
          <w:szCs w:val="24"/>
        </w:rPr>
        <w:t>Naz</w:t>
      </w:r>
      <w:proofErr w:type="spellEnd"/>
      <w:r w:rsidRPr="00405D7C">
        <w:rPr>
          <w:rFonts w:cs="Times New Roman"/>
          <w:szCs w:val="24"/>
        </w:rPr>
        <w:t xml:space="preserve"> S, </w:t>
      </w:r>
      <w:proofErr w:type="spellStart"/>
      <w:r w:rsidRPr="00405D7C">
        <w:rPr>
          <w:rFonts w:cs="Times New Roman"/>
          <w:szCs w:val="24"/>
        </w:rPr>
        <w:t>Rowghani</w:t>
      </w:r>
      <w:proofErr w:type="spellEnd"/>
      <w:r w:rsidRPr="00405D7C">
        <w:rPr>
          <w:rFonts w:cs="Times New Roman"/>
          <w:szCs w:val="24"/>
        </w:rPr>
        <w:t xml:space="preserve"> E</w:t>
      </w:r>
      <w:r w:rsidR="00EA4439" w:rsidRPr="00405D7C">
        <w:rPr>
          <w:rFonts w:cs="Times New Roman"/>
          <w:szCs w:val="24"/>
        </w:rPr>
        <w:t xml:space="preserve">, </w:t>
      </w:r>
      <w:proofErr w:type="spellStart"/>
      <w:r w:rsidR="00EA4439" w:rsidRPr="00405D7C">
        <w:rPr>
          <w:rFonts w:cs="Times New Roman"/>
          <w:szCs w:val="24"/>
        </w:rPr>
        <w:t>Tufarelli</w:t>
      </w:r>
      <w:proofErr w:type="spellEnd"/>
      <w:r w:rsidR="00EA4439" w:rsidRPr="00405D7C">
        <w:rPr>
          <w:rFonts w:cs="Times New Roman"/>
          <w:szCs w:val="24"/>
        </w:rPr>
        <w:t xml:space="preserve"> V. 2012. Effect of Reducing Dietary Protein Level on Performance Responses and some Microbiological Aspects of Broiler Chickens under Summer Environmental C</w:t>
      </w:r>
      <w:r w:rsidRPr="00405D7C">
        <w:rPr>
          <w:rFonts w:cs="Times New Roman"/>
          <w:szCs w:val="24"/>
        </w:rPr>
        <w:t xml:space="preserve">onditions. Avian </w:t>
      </w:r>
      <w:proofErr w:type="spellStart"/>
      <w:r w:rsidRPr="00405D7C">
        <w:rPr>
          <w:rFonts w:cs="Times New Roman"/>
          <w:szCs w:val="24"/>
        </w:rPr>
        <w:t>Biol</w:t>
      </w:r>
      <w:proofErr w:type="spellEnd"/>
      <w:r w:rsidRPr="00405D7C">
        <w:rPr>
          <w:rFonts w:cs="Times New Roman"/>
          <w:szCs w:val="24"/>
        </w:rPr>
        <w:t xml:space="preserve"> Res</w:t>
      </w:r>
      <w:r w:rsidR="00EA4439" w:rsidRPr="00405D7C">
        <w:rPr>
          <w:rFonts w:cs="Times New Roman"/>
          <w:szCs w:val="24"/>
        </w:rPr>
        <w:t>.</w:t>
      </w:r>
      <w:r w:rsidRPr="00405D7C">
        <w:rPr>
          <w:rFonts w:cs="Times New Roman"/>
          <w:szCs w:val="24"/>
        </w:rPr>
        <w:t xml:space="preserve"> 5</w:t>
      </w:r>
      <w:r w:rsidR="00EA4439" w:rsidRPr="00405D7C">
        <w:rPr>
          <w:rFonts w:cs="Times New Roman"/>
          <w:szCs w:val="24"/>
        </w:rPr>
        <w:t>(2)</w:t>
      </w:r>
      <w:r w:rsidRPr="00405D7C">
        <w:rPr>
          <w:rFonts w:cs="Times New Roman"/>
          <w:szCs w:val="24"/>
        </w:rPr>
        <w:t>: 88-92.</w:t>
      </w:r>
      <w:r w:rsidR="00EA4439" w:rsidRPr="00405D7C">
        <w:rPr>
          <w:rFonts w:cs="Times New Roman"/>
          <w:szCs w:val="24"/>
        </w:rPr>
        <w:t xml:space="preserve"> Available from: </w:t>
      </w:r>
      <w:hyperlink r:id="rId32" w:history="1">
        <w:r w:rsidR="00EA4439" w:rsidRPr="00405D7C">
          <w:rPr>
            <w:rStyle w:val="Hyperlink"/>
            <w:rFonts w:cs="Times New Roman"/>
            <w:color w:val="auto"/>
            <w:szCs w:val="24"/>
            <w:u w:val="none"/>
            <w:shd w:val="clear" w:color="auto" w:fill="FFFFFF"/>
          </w:rPr>
          <w:t>https://doi.org/10.3184/175815512X13350180713553</w:t>
        </w:r>
      </w:hyperlink>
    </w:p>
    <w:p w:rsidR="00EA4439" w:rsidRPr="00405D7C" w:rsidRDefault="009F6756" w:rsidP="00EA4439">
      <w:pPr>
        <w:suppressLineNumbers/>
        <w:spacing w:after="0" w:line="240" w:lineRule="auto"/>
        <w:ind w:left="785" w:hangingChars="327" w:hanging="785"/>
        <w:rPr>
          <w:rFonts w:cs="Times New Roman"/>
          <w:szCs w:val="24"/>
        </w:rPr>
      </w:pPr>
      <w:proofErr w:type="spellStart"/>
      <w:r w:rsidRPr="00405D7C">
        <w:rPr>
          <w:rFonts w:cs="Times New Roman"/>
          <w:szCs w:val="24"/>
        </w:rPr>
        <w:t>Lazado</w:t>
      </w:r>
      <w:proofErr w:type="spellEnd"/>
      <w:r w:rsidRPr="00405D7C">
        <w:rPr>
          <w:rFonts w:cs="Times New Roman"/>
          <w:szCs w:val="24"/>
        </w:rPr>
        <w:t xml:space="preserve"> CC, </w:t>
      </w:r>
      <w:proofErr w:type="spellStart"/>
      <w:r w:rsidRPr="00405D7C">
        <w:rPr>
          <w:rFonts w:cs="Times New Roman"/>
          <w:szCs w:val="24"/>
        </w:rPr>
        <w:t>Caipang</w:t>
      </w:r>
      <w:proofErr w:type="spellEnd"/>
      <w:r w:rsidRPr="00405D7C">
        <w:rPr>
          <w:rFonts w:cs="Times New Roman"/>
          <w:szCs w:val="24"/>
        </w:rPr>
        <w:t xml:space="preserve"> CMA. 2014. Mucosal immunity and probiotics in fish. Fish Shellfish </w:t>
      </w:r>
      <w:proofErr w:type="spellStart"/>
      <w:r w:rsidRPr="00405D7C">
        <w:rPr>
          <w:rFonts w:cs="Times New Roman"/>
          <w:szCs w:val="24"/>
        </w:rPr>
        <w:t>Immunol</w:t>
      </w:r>
      <w:proofErr w:type="spellEnd"/>
      <w:r w:rsidR="00EA4439" w:rsidRPr="00405D7C">
        <w:rPr>
          <w:rFonts w:cs="Times New Roman"/>
          <w:szCs w:val="24"/>
        </w:rPr>
        <w:t>.</w:t>
      </w:r>
      <w:r w:rsidRPr="00405D7C">
        <w:rPr>
          <w:rFonts w:cs="Times New Roman"/>
          <w:szCs w:val="24"/>
        </w:rPr>
        <w:t xml:space="preserve"> 39</w:t>
      </w:r>
      <w:r w:rsidR="00EA4439" w:rsidRPr="00405D7C">
        <w:rPr>
          <w:rFonts w:cs="Times New Roman"/>
          <w:szCs w:val="24"/>
        </w:rPr>
        <w:t>(1)</w:t>
      </w:r>
      <w:r w:rsidRPr="00405D7C">
        <w:rPr>
          <w:rFonts w:cs="Times New Roman"/>
          <w:szCs w:val="24"/>
        </w:rPr>
        <w:t>: 78–89.</w:t>
      </w:r>
      <w:r w:rsidR="00EA4439" w:rsidRPr="00405D7C">
        <w:rPr>
          <w:rFonts w:cs="Times New Roman"/>
          <w:szCs w:val="24"/>
        </w:rPr>
        <w:t xml:space="preserve"> Available from: </w:t>
      </w:r>
      <w:hyperlink r:id="rId33" w:tgtFrame="_blank" w:tooltip="Persistent link using digital object identifier" w:history="1">
        <w:r w:rsidR="00EA4439" w:rsidRPr="00405D7C">
          <w:rPr>
            <w:rStyle w:val="Hyperlink"/>
            <w:rFonts w:cs="Times New Roman"/>
            <w:color w:val="auto"/>
            <w:szCs w:val="24"/>
            <w:u w:val="none"/>
          </w:rPr>
          <w:t>https://doi.org/10.1016/j.fsi.2014.04.015</w:t>
        </w:r>
      </w:hyperlink>
    </w:p>
    <w:p w:rsidR="00EA4439" w:rsidRPr="00405D7C" w:rsidRDefault="009F6756" w:rsidP="00EA4439">
      <w:pPr>
        <w:suppressLineNumbers/>
        <w:spacing w:after="0" w:line="240" w:lineRule="auto"/>
        <w:ind w:left="785" w:hangingChars="327" w:hanging="785"/>
        <w:rPr>
          <w:rFonts w:cs="Times New Roman"/>
          <w:szCs w:val="24"/>
        </w:rPr>
      </w:pPr>
      <w:r w:rsidRPr="00405D7C">
        <w:rPr>
          <w:rFonts w:cs="Times New Roman"/>
          <w:szCs w:val="24"/>
        </w:rPr>
        <w:t xml:space="preserve">Lee KW, Everts H, </w:t>
      </w:r>
      <w:proofErr w:type="spellStart"/>
      <w:r w:rsidRPr="00405D7C">
        <w:rPr>
          <w:rFonts w:cs="Times New Roman"/>
          <w:szCs w:val="24"/>
        </w:rPr>
        <w:t>Kappert</w:t>
      </w:r>
      <w:proofErr w:type="spellEnd"/>
      <w:r w:rsidRPr="00405D7C">
        <w:rPr>
          <w:rFonts w:cs="Times New Roman"/>
          <w:szCs w:val="24"/>
        </w:rPr>
        <w:t xml:space="preserve"> HJ, </w:t>
      </w:r>
      <w:proofErr w:type="spellStart"/>
      <w:r w:rsidRPr="00405D7C">
        <w:rPr>
          <w:rFonts w:cs="Times New Roman"/>
          <w:szCs w:val="24"/>
        </w:rPr>
        <w:t>Frehner</w:t>
      </w:r>
      <w:proofErr w:type="spellEnd"/>
      <w:r w:rsidRPr="00405D7C">
        <w:rPr>
          <w:rFonts w:cs="Times New Roman"/>
          <w:szCs w:val="24"/>
        </w:rPr>
        <w:t xml:space="preserve"> M, </w:t>
      </w:r>
      <w:proofErr w:type="spellStart"/>
      <w:r w:rsidRPr="00405D7C">
        <w:rPr>
          <w:rFonts w:cs="Times New Roman"/>
          <w:szCs w:val="24"/>
        </w:rPr>
        <w:t>Losa</w:t>
      </w:r>
      <w:proofErr w:type="spellEnd"/>
      <w:r w:rsidRPr="00405D7C">
        <w:rPr>
          <w:rFonts w:cs="Times New Roman"/>
          <w:szCs w:val="24"/>
        </w:rPr>
        <w:t xml:space="preserve"> R, </w:t>
      </w:r>
      <w:proofErr w:type="spellStart"/>
      <w:r w:rsidRPr="00405D7C">
        <w:rPr>
          <w:rFonts w:cs="Times New Roman"/>
          <w:szCs w:val="24"/>
        </w:rPr>
        <w:t>Beynen</w:t>
      </w:r>
      <w:proofErr w:type="spellEnd"/>
      <w:r w:rsidRPr="00405D7C">
        <w:rPr>
          <w:rFonts w:cs="Times New Roman"/>
          <w:szCs w:val="24"/>
        </w:rPr>
        <w:t xml:space="preserve"> AC. 2003. Effects of dietary essential oil components on growth performance, digestive enzymes and lipid metabolism in female broi</w:t>
      </w:r>
      <w:r w:rsidR="00EA4439" w:rsidRPr="00405D7C">
        <w:rPr>
          <w:rFonts w:cs="Times New Roman"/>
          <w:szCs w:val="24"/>
        </w:rPr>
        <w:t xml:space="preserve">ler chickens. Brit </w:t>
      </w:r>
      <w:proofErr w:type="spellStart"/>
      <w:r w:rsidR="00EA4439" w:rsidRPr="00405D7C">
        <w:rPr>
          <w:rFonts w:cs="Times New Roman"/>
          <w:szCs w:val="24"/>
        </w:rPr>
        <w:t>Poult</w:t>
      </w:r>
      <w:proofErr w:type="spellEnd"/>
      <w:r w:rsidR="00EA4439" w:rsidRPr="00405D7C">
        <w:rPr>
          <w:rFonts w:cs="Times New Roman"/>
          <w:szCs w:val="24"/>
        </w:rPr>
        <w:t xml:space="preserve"> Sci. </w:t>
      </w:r>
      <w:r w:rsidRPr="00405D7C">
        <w:rPr>
          <w:rFonts w:cs="Times New Roman"/>
          <w:szCs w:val="24"/>
        </w:rPr>
        <w:t>44</w:t>
      </w:r>
      <w:r w:rsidR="00EA4439" w:rsidRPr="00405D7C">
        <w:rPr>
          <w:rFonts w:cs="Times New Roman"/>
          <w:szCs w:val="24"/>
        </w:rPr>
        <w:t>(3)</w:t>
      </w:r>
      <w:r w:rsidRPr="00405D7C">
        <w:rPr>
          <w:rFonts w:cs="Times New Roman"/>
          <w:szCs w:val="24"/>
        </w:rPr>
        <w:t>: 450–457.</w:t>
      </w:r>
      <w:r w:rsidR="00EA4439" w:rsidRPr="00405D7C">
        <w:rPr>
          <w:rFonts w:cs="Times New Roman"/>
          <w:szCs w:val="24"/>
        </w:rPr>
        <w:t xml:space="preserve"> Available from: </w:t>
      </w:r>
      <w:hyperlink r:id="rId34" w:history="1">
        <w:r w:rsidR="00EA4439" w:rsidRPr="00405D7C">
          <w:rPr>
            <w:rStyle w:val="Hyperlink"/>
            <w:rFonts w:cs="Times New Roman"/>
            <w:color w:val="auto"/>
            <w:szCs w:val="24"/>
            <w:u w:val="none"/>
          </w:rPr>
          <w:t>https://doi.org/10.1080/0007166031000085508</w:t>
        </w:r>
      </w:hyperlink>
    </w:p>
    <w:p w:rsidR="00EA4439" w:rsidRPr="00405D7C" w:rsidRDefault="009F6756" w:rsidP="00EA4439">
      <w:pPr>
        <w:suppressLineNumbers/>
        <w:spacing w:after="0" w:line="240" w:lineRule="auto"/>
        <w:ind w:left="785" w:hangingChars="327" w:hanging="785"/>
        <w:rPr>
          <w:rFonts w:cs="Times New Roman"/>
          <w:szCs w:val="24"/>
        </w:rPr>
      </w:pPr>
      <w:r w:rsidRPr="00405D7C">
        <w:rPr>
          <w:rFonts w:cs="Times New Roman"/>
          <w:szCs w:val="24"/>
        </w:rPr>
        <w:t xml:space="preserve">Ley RE, </w:t>
      </w:r>
      <w:proofErr w:type="spellStart"/>
      <w:r w:rsidRPr="00405D7C">
        <w:rPr>
          <w:rFonts w:cs="Times New Roman"/>
          <w:szCs w:val="24"/>
        </w:rPr>
        <w:t>Lozupone</w:t>
      </w:r>
      <w:proofErr w:type="spellEnd"/>
      <w:r w:rsidRPr="00405D7C">
        <w:rPr>
          <w:rFonts w:cs="Times New Roman"/>
          <w:szCs w:val="24"/>
        </w:rPr>
        <w:t xml:space="preserve"> CA, </w:t>
      </w:r>
      <w:proofErr w:type="spellStart"/>
      <w:r w:rsidRPr="00405D7C">
        <w:rPr>
          <w:rFonts w:cs="Times New Roman"/>
          <w:szCs w:val="24"/>
        </w:rPr>
        <w:t>Hamady</w:t>
      </w:r>
      <w:proofErr w:type="spellEnd"/>
      <w:r w:rsidRPr="00405D7C">
        <w:rPr>
          <w:rFonts w:cs="Times New Roman"/>
          <w:szCs w:val="24"/>
        </w:rPr>
        <w:t xml:space="preserve"> M, Knight R, Gordon JI. 2008. Worlds within worlds: evolution of the vertebrate gut microbiota. Nature Rev </w:t>
      </w:r>
      <w:proofErr w:type="spellStart"/>
      <w:r w:rsidRPr="00405D7C">
        <w:rPr>
          <w:rFonts w:cs="Times New Roman"/>
          <w:szCs w:val="24"/>
        </w:rPr>
        <w:t>Microbiol</w:t>
      </w:r>
      <w:proofErr w:type="spellEnd"/>
      <w:r w:rsidR="00EA4439" w:rsidRPr="00405D7C">
        <w:rPr>
          <w:rFonts w:cs="Times New Roman"/>
          <w:szCs w:val="24"/>
        </w:rPr>
        <w:t>.</w:t>
      </w:r>
      <w:r w:rsidRPr="00405D7C">
        <w:rPr>
          <w:rFonts w:cs="Times New Roman"/>
          <w:szCs w:val="24"/>
        </w:rPr>
        <w:t xml:space="preserve"> 6: 776–788.</w:t>
      </w:r>
      <w:r w:rsidR="00EA4439" w:rsidRPr="00405D7C">
        <w:rPr>
          <w:rFonts w:cs="Times New Roman"/>
          <w:szCs w:val="24"/>
        </w:rPr>
        <w:t xml:space="preserve"> Available from: </w:t>
      </w:r>
      <w:hyperlink r:id="rId35" w:history="1">
        <w:r w:rsidR="00EA4439" w:rsidRPr="00405D7C">
          <w:rPr>
            <w:rStyle w:val="Hyperlink"/>
            <w:rFonts w:cs="Times New Roman"/>
            <w:color w:val="auto"/>
            <w:szCs w:val="24"/>
            <w:u w:val="none"/>
            <w:shd w:val="clear" w:color="auto" w:fill="FFFFFF"/>
          </w:rPr>
          <w:t>https://doi.org/10.1038/nrmicro1978</w:t>
        </w:r>
      </w:hyperlink>
    </w:p>
    <w:p w:rsidR="00EA4439" w:rsidRPr="00405D7C" w:rsidRDefault="009F6756" w:rsidP="00EA4439">
      <w:pPr>
        <w:suppressLineNumbers/>
        <w:spacing w:after="0" w:line="240" w:lineRule="auto"/>
        <w:ind w:left="785" w:hangingChars="327" w:hanging="785"/>
        <w:rPr>
          <w:rFonts w:cs="Times New Roman"/>
          <w:szCs w:val="24"/>
        </w:rPr>
      </w:pPr>
      <w:r w:rsidRPr="00405D7C">
        <w:rPr>
          <w:rFonts w:cs="Times New Roman"/>
          <w:szCs w:val="24"/>
        </w:rPr>
        <w:t xml:space="preserve">Li HN, Zhao PY, Yan L, Hossain MM, Kang J, Kim IH. 2016. </w:t>
      </w:r>
      <w:r w:rsidR="00EA4439" w:rsidRPr="00405D7C">
        <w:rPr>
          <w:rFonts w:cs="Times New Roman"/>
          <w:szCs w:val="24"/>
        </w:rPr>
        <w:t xml:space="preserve">Dietary </w:t>
      </w:r>
      <w:proofErr w:type="spellStart"/>
      <w:r w:rsidR="00EA4439" w:rsidRPr="00405D7C">
        <w:rPr>
          <w:rFonts w:cs="Times New Roman"/>
          <w:szCs w:val="24"/>
        </w:rPr>
        <w:t>Phytoncide</w:t>
      </w:r>
      <w:proofErr w:type="spellEnd"/>
      <w:r w:rsidR="00EA4439" w:rsidRPr="00405D7C">
        <w:rPr>
          <w:rFonts w:cs="Times New Roman"/>
          <w:szCs w:val="24"/>
        </w:rPr>
        <w:t xml:space="preserve"> Supplementation Improved Growth Performance and Meat Quality of Finishing P</w:t>
      </w:r>
      <w:r w:rsidRPr="00405D7C">
        <w:rPr>
          <w:rFonts w:cs="Times New Roman"/>
          <w:szCs w:val="24"/>
        </w:rPr>
        <w:t xml:space="preserve">igs. Asian </w:t>
      </w:r>
      <w:proofErr w:type="spellStart"/>
      <w:r w:rsidRPr="00405D7C">
        <w:rPr>
          <w:rFonts w:cs="Times New Roman"/>
          <w:szCs w:val="24"/>
        </w:rPr>
        <w:t>Australas</w:t>
      </w:r>
      <w:proofErr w:type="spellEnd"/>
      <w:r w:rsidRPr="00405D7C">
        <w:rPr>
          <w:rFonts w:cs="Times New Roman"/>
          <w:szCs w:val="24"/>
        </w:rPr>
        <w:t xml:space="preserve"> J </w:t>
      </w:r>
      <w:proofErr w:type="spellStart"/>
      <w:r w:rsidRPr="00405D7C">
        <w:rPr>
          <w:rFonts w:cs="Times New Roman"/>
          <w:szCs w:val="24"/>
        </w:rPr>
        <w:t>Anim</w:t>
      </w:r>
      <w:proofErr w:type="spellEnd"/>
      <w:r w:rsidRPr="00405D7C">
        <w:rPr>
          <w:rFonts w:cs="Times New Roman"/>
          <w:szCs w:val="24"/>
        </w:rPr>
        <w:t xml:space="preserve"> Sci</w:t>
      </w:r>
      <w:r w:rsidR="00EA4439" w:rsidRPr="00405D7C">
        <w:rPr>
          <w:rFonts w:cs="Times New Roman"/>
          <w:szCs w:val="24"/>
        </w:rPr>
        <w:t>.</w:t>
      </w:r>
      <w:r w:rsidRPr="00405D7C">
        <w:rPr>
          <w:rFonts w:cs="Times New Roman"/>
          <w:szCs w:val="24"/>
        </w:rPr>
        <w:t xml:space="preserve"> </w:t>
      </w:r>
      <w:r w:rsidR="00EA4439" w:rsidRPr="00405D7C">
        <w:rPr>
          <w:rFonts w:cs="Times New Roman"/>
          <w:szCs w:val="24"/>
        </w:rPr>
        <w:t>29(</w:t>
      </w:r>
      <w:r w:rsidRPr="00405D7C">
        <w:rPr>
          <w:rFonts w:cs="Times New Roman"/>
          <w:szCs w:val="24"/>
        </w:rPr>
        <w:t>9</w:t>
      </w:r>
      <w:r w:rsidR="00EA4439" w:rsidRPr="00405D7C">
        <w:rPr>
          <w:rFonts w:cs="Times New Roman"/>
          <w:szCs w:val="24"/>
        </w:rPr>
        <w:t>)</w:t>
      </w:r>
      <w:r w:rsidRPr="00405D7C">
        <w:rPr>
          <w:rFonts w:cs="Times New Roman"/>
          <w:szCs w:val="24"/>
        </w:rPr>
        <w:t>: 1314–1321.</w:t>
      </w:r>
      <w:r w:rsidR="00EA4439" w:rsidRPr="00405D7C">
        <w:rPr>
          <w:rFonts w:cs="Times New Roman"/>
          <w:szCs w:val="24"/>
        </w:rPr>
        <w:t xml:space="preserve"> Available from: </w:t>
      </w:r>
      <w:hyperlink r:id="rId36" w:tgtFrame="_blank" w:history="1">
        <w:r w:rsidR="00EA4439" w:rsidRPr="00405D7C">
          <w:rPr>
            <w:rStyle w:val="Hyperlink"/>
            <w:rFonts w:cs="Times New Roman"/>
            <w:color w:val="auto"/>
            <w:spacing w:val="2"/>
            <w:szCs w:val="24"/>
            <w:u w:val="none"/>
            <w:bdr w:val="none" w:sz="0" w:space="0" w:color="auto" w:frame="1"/>
            <w:shd w:val="clear" w:color="auto" w:fill="FFFFFF"/>
          </w:rPr>
          <w:t>https://doi.org/10.5713/ajas.15.0309</w:t>
        </w:r>
      </w:hyperlink>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t>Lis-</w:t>
      </w:r>
      <w:proofErr w:type="spellStart"/>
      <w:r w:rsidRPr="00405D7C">
        <w:rPr>
          <w:rFonts w:cs="Times New Roman"/>
          <w:szCs w:val="24"/>
        </w:rPr>
        <w:t>Balchin</w:t>
      </w:r>
      <w:proofErr w:type="spellEnd"/>
      <w:r w:rsidRPr="00405D7C">
        <w:rPr>
          <w:rFonts w:cs="Times New Roman"/>
          <w:szCs w:val="24"/>
        </w:rPr>
        <w:t xml:space="preserve"> M, Deans SG. 1997. Bioactivity of selected plant essential oils against </w:t>
      </w:r>
      <w:r w:rsidRPr="00405D7C">
        <w:rPr>
          <w:rFonts w:cs="Times New Roman"/>
          <w:i/>
          <w:szCs w:val="24"/>
        </w:rPr>
        <w:t>Listeria monocytogenes</w:t>
      </w:r>
      <w:r w:rsidRPr="00405D7C">
        <w:rPr>
          <w:rFonts w:cs="Times New Roman"/>
          <w:szCs w:val="24"/>
        </w:rPr>
        <w:t xml:space="preserve">. J </w:t>
      </w:r>
      <w:proofErr w:type="spellStart"/>
      <w:r w:rsidRPr="00405D7C">
        <w:rPr>
          <w:rFonts w:cs="Times New Roman"/>
          <w:szCs w:val="24"/>
        </w:rPr>
        <w:t>Appl</w:t>
      </w:r>
      <w:proofErr w:type="spellEnd"/>
      <w:r w:rsidRPr="00405D7C">
        <w:rPr>
          <w:rFonts w:cs="Times New Roman"/>
          <w:szCs w:val="24"/>
        </w:rPr>
        <w:t xml:space="preserve"> </w:t>
      </w:r>
      <w:proofErr w:type="spellStart"/>
      <w:r w:rsidRPr="00405D7C">
        <w:rPr>
          <w:rFonts w:cs="Times New Roman"/>
          <w:szCs w:val="24"/>
        </w:rPr>
        <w:t>Bacteriol</w:t>
      </w:r>
      <w:proofErr w:type="spellEnd"/>
      <w:r w:rsidR="00EA4439" w:rsidRPr="00405D7C">
        <w:rPr>
          <w:rFonts w:cs="Times New Roman"/>
          <w:szCs w:val="24"/>
        </w:rPr>
        <w:t>.</w:t>
      </w:r>
      <w:r w:rsidRPr="00405D7C">
        <w:rPr>
          <w:rFonts w:cs="Times New Roman"/>
          <w:szCs w:val="24"/>
        </w:rPr>
        <w:t xml:space="preserve"> 82</w:t>
      </w:r>
      <w:r w:rsidR="00EA4439" w:rsidRPr="00405D7C">
        <w:rPr>
          <w:rFonts w:cs="Times New Roman"/>
          <w:szCs w:val="24"/>
        </w:rPr>
        <w:t>(6)</w:t>
      </w:r>
      <w:r w:rsidRPr="00405D7C">
        <w:rPr>
          <w:rFonts w:cs="Times New Roman"/>
          <w:szCs w:val="24"/>
        </w:rPr>
        <w:t>: 759–762.</w:t>
      </w:r>
      <w:r w:rsidR="00EA4439" w:rsidRPr="00405D7C">
        <w:rPr>
          <w:rFonts w:cs="Times New Roman"/>
          <w:szCs w:val="24"/>
        </w:rPr>
        <w:t xml:space="preserve"> Available from: </w:t>
      </w:r>
      <w:hyperlink r:id="rId37" w:history="1">
        <w:r w:rsidR="00EA4439" w:rsidRPr="00405D7C">
          <w:rPr>
            <w:rStyle w:val="Hyperlink"/>
            <w:rFonts w:cs="Times New Roman"/>
            <w:bCs/>
            <w:color w:val="auto"/>
            <w:szCs w:val="24"/>
            <w:u w:val="none"/>
            <w:shd w:val="clear" w:color="auto" w:fill="FFFFFF"/>
          </w:rPr>
          <w:t>https://doi.org/10.1046/j.1365-2672.1997.00153.x</w:t>
        </w:r>
      </w:hyperlink>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t>Liu HB, Zhang Y, Yang YH, Lu TY, Ye JD. 2004. Effects of five Chinese herb medicines as additive in feed on the growth and intestinal microflora in common carp (</w:t>
      </w:r>
      <w:proofErr w:type="spellStart"/>
      <w:r w:rsidRPr="00405D7C">
        <w:rPr>
          <w:rFonts w:cs="Times New Roman"/>
          <w:i/>
          <w:szCs w:val="24"/>
        </w:rPr>
        <w:t>Cyprinus</w:t>
      </w:r>
      <w:proofErr w:type="spellEnd"/>
      <w:r w:rsidRPr="00405D7C">
        <w:rPr>
          <w:rFonts w:cs="Times New Roman"/>
          <w:i/>
          <w:szCs w:val="24"/>
        </w:rPr>
        <w:t xml:space="preserve"> </w:t>
      </w:r>
      <w:proofErr w:type="spellStart"/>
      <w:r w:rsidRPr="00405D7C">
        <w:rPr>
          <w:rFonts w:cs="Times New Roman"/>
          <w:i/>
          <w:szCs w:val="24"/>
        </w:rPr>
        <w:t>carpio</w:t>
      </w:r>
      <w:proofErr w:type="spellEnd"/>
      <w:r w:rsidRPr="00405D7C">
        <w:rPr>
          <w:rFonts w:cs="Times New Roman"/>
          <w:szCs w:val="24"/>
        </w:rPr>
        <w:t xml:space="preserve">). J. Dalian Fisheries </w:t>
      </w:r>
      <w:proofErr w:type="spellStart"/>
      <w:r w:rsidRPr="00405D7C">
        <w:rPr>
          <w:rFonts w:cs="Times New Roman"/>
          <w:szCs w:val="24"/>
        </w:rPr>
        <w:t>Univ</w:t>
      </w:r>
      <w:proofErr w:type="spellEnd"/>
      <w:r w:rsidRPr="00405D7C">
        <w:rPr>
          <w:rFonts w:cs="Times New Roman"/>
          <w:szCs w:val="24"/>
        </w:rPr>
        <w:t xml:space="preserve"> 19: 16-20.</w:t>
      </w:r>
    </w:p>
    <w:p w:rsidR="00EA4439" w:rsidRPr="00405D7C" w:rsidRDefault="009F6756" w:rsidP="00EA4439">
      <w:pPr>
        <w:suppressLineNumbers/>
        <w:spacing w:after="0" w:line="240" w:lineRule="auto"/>
        <w:ind w:left="785" w:hangingChars="327" w:hanging="785"/>
        <w:rPr>
          <w:rFonts w:cs="Times New Roman"/>
          <w:szCs w:val="24"/>
        </w:rPr>
      </w:pPr>
      <w:r w:rsidRPr="00405D7C">
        <w:rPr>
          <w:rFonts w:cs="Times New Roman"/>
          <w:szCs w:val="24"/>
        </w:rPr>
        <w:t>Liu H-W, Tong J-M, Zhou D-W</w:t>
      </w:r>
      <w:r w:rsidR="00EA4439" w:rsidRPr="00405D7C">
        <w:rPr>
          <w:rFonts w:cs="Times New Roman"/>
          <w:szCs w:val="24"/>
        </w:rPr>
        <w:t>. 2011. Utilization of Chinese Herbal Feed Additives in Animal P</w:t>
      </w:r>
      <w:r w:rsidRPr="00405D7C">
        <w:rPr>
          <w:rFonts w:cs="Times New Roman"/>
          <w:szCs w:val="24"/>
        </w:rPr>
        <w:t xml:space="preserve">roduction. </w:t>
      </w:r>
      <w:proofErr w:type="spellStart"/>
      <w:r w:rsidRPr="00405D7C">
        <w:rPr>
          <w:rFonts w:cs="Times New Roman"/>
          <w:szCs w:val="24"/>
        </w:rPr>
        <w:t>Agricult</w:t>
      </w:r>
      <w:proofErr w:type="spellEnd"/>
      <w:r w:rsidRPr="00405D7C">
        <w:rPr>
          <w:rFonts w:cs="Times New Roman"/>
          <w:szCs w:val="24"/>
        </w:rPr>
        <w:t xml:space="preserve"> </w:t>
      </w:r>
      <w:proofErr w:type="spellStart"/>
      <w:r w:rsidRPr="00405D7C">
        <w:rPr>
          <w:rFonts w:cs="Times New Roman"/>
          <w:szCs w:val="24"/>
        </w:rPr>
        <w:t>Sci</w:t>
      </w:r>
      <w:proofErr w:type="spellEnd"/>
      <w:r w:rsidRPr="00405D7C">
        <w:rPr>
          <w:rFonts w:cs="Times New Roman"/>
          <w:szCs w:val="24"/>
        </w:rPr>
        <w:t xml:space="preserve"> China</w:t>
      </w:r>
      <w:r w:rsidR="00EA4439" w:rsidRPr="00405D7C">
        <w:rPr>
          <w:rFonts w:cs="Times New Roman"/>
          <w:szCs w:val="24"/>
        </w:rPr>
        <w:t>.</w:t>
      </w:r>
      <w:r w:rsidRPr="00405D7C">
        <w:rPr>
          <w:rFonts w:cs="Times New Roman"/>
          <w:szCs w:val="24"/>
        </w:rPr>
        <w:t xml:space="preserve"> 10</w:t>
      </w:r>
      <w:r w:rsidR="00EA4439" w:rsidRPr="00405D7C">
        <w:rPr>
          <w:rFonts w:cs="Times New Roman"/>
          <w:szCs w:val="24"/>
        </w:rPr>
        <w:t>(8)</w:t>
      </w:r>
      <w:r w:rsidRPr="00405D7C">
        <w:rPr>
          <w:rFonts w:cs="Times New Roman"/>
          <w:szCs w:val="24"/>
        </w:rPr>
        <w:t>: 1262-1272.</w:t>
      </w:r>
      <w:r w:rsidR="00EA4439" w:rsidRPr="00405D7C">
        <w:rPr>
          <w:rFonts w:cs="Times New Roman"/>
          <w:szCs w:val="24"/>
        </w:rPr>
        <w:t xml:space="preserve"> Available from: </w:t>
      </w:r>
      <w:hyperlink r:id="rId38" w:tgtFrame="_blank" w:tooltip="Persistent link using digital object identifier" w:history="1">
        <w:r w:rsidR="00EA4439" w:rsidRPr="00405D7C">
          <w:rPr>
            <w:rStyle w:val="Hyperlink"/>
            <w:rFonts w:cs="Times New Roman"/>
            <w:color w:val="auto"/>
            <w:szCs w:val="24"/>
            <w:u w:val="none"/>
          </w:rPr>
          <w:t>https://doi.org/10.1016/S1671-2927(11)60118-1</w:t>
        </w:r>
      </w:hyperlink>
    </w:p>
    <w:p w:rsidR="000E275C" w:rsidRPr="00405D7C" w:rsidRDefault="009F6756" w:rsidP="000E275C">
      <w:pPr>
        <w:suppressLineNumbers/>
        <w:spacing w:after="0" w:line="240" w:lineRule="auto"/>
        <w:ind w:left="785" w:hangingChars="327" w:hanging="785"/>
        <w:rPr>
          <w:rFonts w:cs="Times New Roman"/>
          <w:szCs w:val="24"/>
        </w:rPr>
      </w:pPr>
      <w:proofErr w:type="spellStart"/>
      <w:r w:rsidRPr="00405D7C">
        <w:rPr>
          <w:rFonts w:cs="Times New Roman"/>
          <w:szCs w:val="24"/>
        </w:rPr>
        <w:t>Logambal</w:t>
      </w:r>
      <w:proofErr w:type="spellEnd"/>
      <w:r w:rsidRPr="00405D7C">
        <w:rPr>
          <w:rFonts w:cs="Times New Roman"/>
          <w:szCs w:val="24"/>
        </w:rPr>
        <w:t xml:space="preserve"> SM, </w:t>
      </w:r>
      <w:proofErr w:type="spellStart"/>
      <w:r w:rsidRPr="00405D7C">
        <w:rPr>
          <w:rFonts w:cs="Times New Roman"/>
          <w:szCs w:val="24"/>
        </w:rPr>
        <w:t>Venkatalakshmi</w:t>
      </w:r>
      <w:proofErr w:type="spellEnd"/>
      <w:r w:rsidRPr="00405D7C">
        <w:rPr>
          <w:rFonts w:cs="Times New Roman"/>
          <w:szCs w:val="24"/>
        </w:rPr>
        <w:t xml:space="preserve"> S, Michael RD. 2000. </w:t>
      </w:r>
      <w:proofErr w:type="spellStart"/>
      <w:r w:rsidRPr="00405D7C">
        <w:rPr>
          <w:rFonts w:cs="Times New Roman"/>
          <w:szCs w:val="24"/>
        </w:rPr>
        <w:t>Immunostimulatory</w:t>
      </w:r>
      <w:proofErr w:type="spellEnd"/>
      <w:r w:rsidRPr="00405D7C">
        <w:rPr>
          <w:rFonts w:cs="Times New Roman"/>
          <w:szCs w:val="24"/>
        </w:rPr>
        <w:t xml:space="preserve"> effect of leaf extract of </w:t>
      </w:r>
      <w:proofErr w:type="spellStart"/>
      <w:r w:rsidRPr="00405D7C">
        <w:rPr>
          <w:rFonts w:cs="Times New Roman"/>
          <w:i/>
          <w:szCs w:val="24"/>
        </w:rPr>
        <w:t>Ocimum</w:t>
      </w:r>
      <w:proofErr w:type="spellEnd"/>
      <w:r w:rsidRPr="00405D7C">
        <w:rPr>
          <w:rFonts w:cs="Times New Roman"/>
          <w:i/>
          <w:szCs w:val="24"/>
        </w:rPr>
        <w:t xml:space="preserve"> sanctum</w:t>
      </w:r>
      <w:r w:rsidR="00405D7C">
        <w:rPr>
          <w:rFonts w:cs="Times New Roman"/>
          <w:szCs w:val="24"/>
        </w:rPr>
        <w:t xml:space="preserve"> Linn. i</w:t>
      </w:r>
      <w:r w:rsidRPr="00405D7C">
        <w:rPr>
          <w:rFonts w:cs="Times New Roman"/>
          <w:szCs w:val="24"/>
        </w:rPr>
        <w:t xml:space="preserve">n </w:t>
      </w:r>
      <w:r w:rsidRPr="00405D7C">
        <w:rPr>
          <w:rFonts w:cs="Times New Roman"/>
          <w:i/>
          <w:szCs w:val="24"/>
        </w:rPr>
        <w:t xml:space="preserve">O. </w:t>
      </w:r>
      <w:proofErr w:type="spellStart"/>
      <w:r w:rsidRPr="00405D7C">
        <w:rPr>
          <w:rFonts w:cs="Times New Roman"/>
          <w:i/>
          <w:szCs w:val="24"/>
        </w:rPr>
        <w:t>mossambicus</w:t>
      </w:r>
      <w:proofErr w:type="spellEnd"/>
      <w:r w:rsidRPr="00405D7C">
        <w:rPr>
          <w:rFonts w:cs="Times New Roman"/>
          <w:szCs w:val="24"/>
        </w:rPr>
        <w:t xml:space="preserve"> (Peters). </w:t>
      </w:r>
      <w:proofErr w:type="spellStart"/>
      <w:r w:rsidRPr="00405D7C">
        <w:rPr>
          <w:rFonts w:cs="Times New Roman"/>
          <w:szCs w:val="24"/>
        </w:rPr>
        <w:t>Hydrobiologia</w:t>
      </w:r>
      <w:proofErr w:type="spellEnd"/>
      <w:r w:rsidR="000E275C" w:rsidRPr="00405D7C">
        <w:rPr>
          <w:rFonts w:cs="Times New Roman"/>
          <w:szCs w:val="24"/>
        </w:rPr>
        <w:t>.</w:t>
      </w:r>
      <w:r w:rsidRPr="00405D7C">
        <w:rPr>
          <w:rFonts w:cs="Times New Roman"/>
          <w:szCs w:val="24"/>
        </w:rPr>
        <w:t xml:space="preserve"> 430: 113–120.</w:t>
      </w:r>
      <w:r w:rsidR="000E275C" w:rsidRPr="00405D7C">
        <w:rPr>
          <w:rFonts w:cs="Times New Roman"/>
          <w:szCs w:val="24"/>
        </w:rPr>
        <w:t xml:space="preserve"> Available from: </w:t>
      </w:r>
      <w:hyperlink r:id="rId39" w:history="1">
        <w:r w:rsidR="000E275C" w:rsidRPr="00405D7C">
          <w:rPr>
            <w:rStyle w:val="Hyperlink"/>
            <w:rFonts w:cs="Times New Roman"/>
            <w:color w:val="auto"/>
            <w:szCs w:val="24"/>
            <w:u w:val="none"/>
            <w:shd w:val="clear" w:color="auto" w:fill="FCFCFC"/>
          </w:rPr>
          <w:t>https://doi.org/10.1023/A:1004029332114</w:t>
        </w:r>
      </w:hyperlink>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Maheshappa</w:t>
      </w:r>
      <w:proofErr w:type="spellEnd"/>
      <w:r w:rsidRPr="00405D7C">
        <w:rPr>
          <w:rFonts w:cs="Times New Roman"/>
          <w:szCs w:val="24"/>
        </w:rPr>
        <w:t xml:space="preserve"> K. 1993. Effect of different doses of </w:t>
      </w:r>
      <w:proofErr w:type="spellStart"/>
      <w:r w:rsidRPr="00405D7C">
        <w:rPr>
          <w:rFonts w:cs="Times New Roman"/>
          <w:szCs w:val="24"/>
        </w:rPr>
        <w:t>livol</w:t>
      </w:r>
      <w:proofErr w:type="spellEnd"/>
      <w:r w:rsidRPr="00405D7C">
        <w:rPr>
          <w:rFonts w:cs="Times New Roman"/>
          <w:szCs w:val="24"/>
        </w:rPr>
        <w:t xml:space="preserve"> on growth and body composition of </w:t>
      </w:r>
      <w:proofErr w:type="spellStart"/>
      <w:r w:rsidRPr="00405D7C">
        <w:rPr>
          <w:rFonts w:cs="Times New Roman"/>
          <w:szCs w:val="24"/>
        </w:rPr>
        <w:t>rohu</w:t>
      </w:r>
      <w:proofErr w:type="spellEnd"/>
      <w:r w:rsidRPr="00405D7C">
        <w:rPr>
          <w:rFonts w:cs="Times New Roman"/>
          <w:szCs w:val="24"/>
        </w:rPr>
        <w:t xml:space="preserve">, </w:t>
      </w:r>
      <w:proofErr w:type="spellStart"/>
      <w:r w:rsidRPr="00405D7C">
        <w:rPr>
          <w:rFonts w:cs="Times New Roman"/>
          <w:i/>
          <w:szCs w:val="24"/>
        </w:rPr>
        <w:t>Labeo</w:t>
      </w:r>
      <w:proofErr w:type="spellEnd"/>
      <w:r w:rsidRPr="00405D7C">
        <w:rPr>
          <w:rFonts w:cs="Times New Roman"/>
          <w:i/>
          <w:szCs w:val="24"/>
        </w:rPr>
        <w:t xml:space="preserve"> </w:t>
      </w:r>
      <w:proofErr w:type="spellStart"/>
      <w:r w:rsidRPr="00405D7C">
        <w:rPr>
          <w:rFonts w:cs="Times New Roman"/>
          <w:i/>
          <w:szCs w:val="24"/>
        </w:rPr>
        <w:t>rohita</w:t>
      </w:r>
      <w:proofErr w:type="spellEnd"/>
      <w:r w:rsidRPr="00405D7C">
        <w:rPr>
          <w:rFonts w:cs="Times New Roman"/>
          <w:szCs w:val="24"/>
        </w:rPr>
        <w:t xml:space="preserve"> (Ham.) </w:t>
      </w:r>
      <w:proofErr w:type="spellStart"/>
      <w:r w:rsidRPr="00405D7C">
        <w:rPr>
          <w:rFonts w:cs="Times New Roman"/>
          <w:szCs w:val="24"/>
        </w:rPr>
        <w:t>M.F.Sc</w:t>
      </w:r>
      <w:proofErr w:type="spellEnd"/>
      <w:r w:rsidRPr="00405D7C">
        <w:rPr>
          <w:rFonts w:cs="Times New Roman"/>
          <w:szCs w:val="24"/>
        </w:rPr>
        <w:t xml:space="preserve"> Thesis, University of Agricultural Science, Bangalore, p 59.</w:t>
      </w:r>
    </w:p>
    <w:p w:rsidR="000E275C" w:rsidRPr="00405D7C" w:rsidRDefault="009F6756" w:rsidP="000E275C">
      <w:pPr>
        <w:suppressLineNumbers/>
        <w:spacing w:after="0" w:line="240" w:lineRule="auto"/>
        <w:ind w:left="785" w:hangingChars="327" w:hanging="785"/>
        <w:rPr>
          <w:rFonts w:cs="Times New Roman"/>
          <w:szCs w:val="24"/>
        </w:rPr>
      </w:pPr>
      <w:r w:rsidRPr="00405D7C">
        <w:rPr>
          <w:rFonts w:cs="Times New Roman"/>
          <w:szCs w:val="24"/>
        </w:rPr>
        <w:lastRenderedPageBreak/>
        <w:t xml:space="preserve">McDevitt RM, Brooker JD, </w:t>
      </w:r>
      <w:proofErr w:type="spellStart"/>
      <w:r w:rsidRPr="00405D7C">
        <w:rPr>
          <w:rFonts w:cs="Times New Roman"/>
          <w:szCs w:val="24"/>
        </w:rPr>
        <w:t>Acamovic</w:t>
      </w:r>
      <w:proofErr w:type="spellEnd"/>
      <w:r w:rsidRPr="00405D7C">
        <w:rPr>
          <w:rFonts w:cs="Times New Roman"/>
          <w:szCs w:val="24"/>
        </w:rPr>
        <w:t xml:space="preserve"> T, Spark</w:t>
      </w:r>
      <w:r w:rsidR="000E275C" w:rsidRPr="00405D7C">
        <w:rPr>
          <w:rFonts w:cs="Times New Roman"/>
          <w:szCs w:val="24"/>
        </w:rPr>
        <w:t xml:space="preserve">s NHC. 2006. Necrotic enteritis; a </w:t>
      </w:r>
      <w:r w:rsidRPr="00405D7C">
        <w:rPr>
          <w:rFonts w:cs="Times New Roman"/>
          <w:szCs w:val="24"/>
        </w:rPr>
        <w:t xml:space="preserve">continuing challenge for the poultry industry. World's </w:t>
      </w:r>
      <w:proofErr w:type="spellStart"/>
      <w:r w:rsidRPr="00405D7C">
        <w:rPr>
          <w:rFonts w:cs="Times New Roman"/>
          <w:szCs w:val="24"/>
        </w:rPr>
        <w:t>Poult</w:t>
      </w:r>
      <w:proofErr w:type="spellEnd"/>
      <w:r w:rsidRPr="00405D7C">
        <w:rPr>
          <w:rFonts w:cs="Times New Roman"/>
          <w:szCs w:val="24"/>
        </w:rPr>
        <w:t xml:space="preserve"> </w:t>
      </w:r>
      <w:proofErr w:type="spellStart"/>
      <w:r w:rsidRPr="00405D7C">
        <w:rPr>
          <w:rFonts w:cs="Times New Roman"/>
          <w:szCs w:val="24"/>
        </w:rPr>
        <w:t>Sci</w:t>
      </w:r>
      <w:proofErr w:type="spellEnd"/>
      <w:r w:rsidRPr="00405D7C">
        <w:rPr>
          <w:rFonts w:cs="Times New Roman"/>
          <w:szCs w:val="24"/>
        </w:rPr>
        <w:t xml:space="preserve"> J</w:t>
      </w:r>
      <w:r w:rsidR="000E275C" w:rsidRPr="00405D7C">
        <w:rPr>
          <w:rFonts w:cs="Times New Roman"/>
          <w:szCs w:val="24"/>
        </w:rPr>
        <w:t>.</w:t>
      </w:r>
      <w:r w:rsidRPr="00405D7C">
        <w:rPr>
          <w:rFonts w:cs="Times New Roman"/>
          <w:szCs w:val="24"/>
        </w:rPr>
        <w:t xml:space="preserve"> 62</w:t>
      </w:r>
      <w:r w:rsidR="000E275C" w:rsidRPr="00405D7C">
        <w:rPr>
          <w:rFonts w:cs="Times New Roman"/>
          <w:szCs w:val="24"/>
        </w:rPr>
        <w:t>(2)</w:t>
      </w:r>
      <w:r w:rsidRPr="00405D7C">
        <w:rPr>
          <w:rFonts w:cs="Times New Roman"/>
          <w:szCs w:val="24"/>
        </w:rPr>
        <w:t>: 221-247.</w:t>
      </w:r>
      <w:r w:rsidR="000E275C" w:rsidRPr="00405D7C">
        <w:rPr>
          <w:rFonts w:cs="Times New Roman"/>
          <w:szCs w:val="24"/>
        </w:rPr>
        <w:t xml:space="preserve"> Available from: </w:t>
      </w:r>
      <w:hyperlink r:id="rId40" w:history="1">
        <w:r w:rsidR="000E275C" w:rsidRPr="00405D7C">
          <w:rPr>
            <w:rStyle w:val="Hyperlink"/>
            <w:rFonts w:cs="Times New Roman"/>
            <w:color w:val="auto"/>
            <w:szCs w:val="24"/>
            <w:u w:val="none"/>
          </w:rPr>
          <w:t>https://doi.org/10.1079/WPS200593</w:t>
        </w:r>
      </w:hyperlink>
    </w:p>
    <w:p w:rsidR="000E275C" w:rsidRPr="00405D7C" w:rsidRDefault="009F6756" w:rsidP="000E275C">
      <w:pPr>
        <w:suppressLineNumbers/>
        <w:spacing w:after="0" w:line="240" w:lineRule="auto"/>
        <w:ind w:left="785" w:hangingChars="327" w:hanging="785"/>
        <w:rPr>
          <w:rFonts w:cs="Times New Roman"/>
          <w:szCs w:val="24"/>
        </w:rPr>
      </w:pPr>
      <w:proofErr w:type="spellStart"/>
      <w:r w:rsidRPr="00405D7C">
        <w:rPr>
          <w:rFonts w:cs="Times New Roman"/>
          <w:szCs w:val="24"/>
        </w:rPr>
        <w:t>Michiels</w:t>
      </w:r>
      <w:proofErr w:type="spellEnd"/>
      <w:r w:rsidRPr="00405D7C">
        <w:rPr>
          <w:rFonts w:cs="Times New Roman"/>
          <w:szCs w:val="24"/>
        </w:rPr>
        <w:t xml:space="preserve"> J, </w:t>
      </w:r>
      <w:proofErr w:type="spellStart"/>
      <w:r w:rsidRPr="00405D7C">
        <w:rPr>
          <w:rFonts w:cs="Times New Roman"/>
          <w:szCs w:val="24"/>
        </w:rPr>
        <w:t>Missotten</w:t>
      </w:r>
      <w:proofErr w:type="spellEnd"/>
      <w:r w:rsidRPr="00405D7C">
        <w:rPr>
          <w:rFonts w:cs="Times New Roman"/>
          <w:szCs w:val="24"/>
        </w:rPr>
        <w:t xml:space="preserve"> J, </w:t>
      </w:r>
      <w:proofErr w:type="spellStart"/>
      <w:r w:rsidRPr="00405D7C">
        <w:rPr>
          <w:rFonts w:cs="Times New Roman"/>
          <w:szCs w:val="24"/>
        </w:rPr>
        <w:t>Dierick</w:t>
      </w:r>
      <w:proofErr w:type="spellEnd"/>
      <w:r w:rsidRPr="00405D7C">
        <w:rPr>
          <w:rFonts w:cs="Times New Roman"/>
          <w:szCs w:val="24"/>
        </w:rPr>
        <w:t xml:space="preserve"> N, </w:t>
      </w:r>
      <w:proofErr w:type="spellStart"/>
      <w:r w:rsidRPr="00405D7C">
        <w:rPr>
          <w:rFonts w:cs="Times New Roman"/>
          <w:szCs w:val="24"/>
        </w:rPr>
        <w:t>Fremaut</w:t>
      </w:r>
      <w:proofErr w:type="spellEnd"/>
      <w:r w:rsidRPr="00405D7C">
        <w:rPr>
          <w:rFonts w:cs="Times New Roman"/>
          <w:szCs w:val="24"/>
        </w:rPr>
        <w:t xml:space="preserve"> D, </w:t>
      </w:r>
      <w:proofErr w:type="spellStart"/>
      <w:r w:rsidRPr="00405D7C">
        <w:rPr>
          <w:rFonts w:cs="Times New Roman"/>
          <w:szCs w:val="24"/>
        </w:rPr>
        <w:t>Maene</w:t>
      </w:r>
      <w:proofErr w:type="spellEnd"/>
      <w:r w:rsidRPr="00405D7C">
        <w:rPr>
          <w:rFonts w:cs="Times New Roman"/>
          <w:szCs w:val="24"/>
        </w:rPr>
        <w:t xml:space="preserve"> P, De </w:t>
      </w:r>
      <w:proofErr w:type="spellStart"/>
      <w:r w:rsidRPr="00405D7C">
        <w:rPr>
          <w:rFonts w:cs="Times New Roman"/>
          <w:szCs w:val="24"/>
        </w:rPr>
        <w:t>Smet</w:t>
      </w:r>
      <w:proofErr w:type="spellEnd"/>
      <w:r w:rsidRPr="00405D7C">
        <w:rPr>
          <w:rFonts w:cs="Times New Roman"/>
          <w:szCs w:val="24"/>
        </w:rPr>
        <w:t xml:space="preserve"> S. 2008. In vitro degradation and in vivo passage kinetics of </w:t>
      </w:r>
      <w:proofErr w:type="spellStart"/>
      <w:r w:rsidRPr="00405D7C">
        <w:rPr>
          <w:rFonts w:cs="Times New Roman"/>
          <w:szCs w:val="24"/>
        </w:rPr>
        <w:t>carvacrol</w:t>
      </w:r>
      <w:proofErr w:type="spellEnd"/>
      <w:r w:rsidRPr="00405D7C">
        <w:rPr>
          <w:rFonts w:cs="Times New Roman"/>
          <w:szCs w:val="24"/>
        </w:rPr>
        <w:t xml:space="preserve">, </w:t>
      </w:r>
      <w:proofErr w:type="spellStart"/>
      <w:r w:rsidRPr="00405D7C">
        <w:rPr>
          <w:rFonts w:cs="Times New Roman"/>
          <w:szCs w:val="24"/>
        </w:rPr>
        <w:t>thymol</w:t>
      </w:r>
      <w:proofErr w:type="spellEnd"/>
      <w:r w:rsidRPr="00405D7C">
        <w:rPr>
          <w:rFonts w:cs="Times New Roman"/>
          <w:szCs w:val="24"/>
        </w:rPr>
        <w:t>, eugenol and trans-</w:t>
      </w:r>
      <w:proofErr w:type="spellStart"/>
      <w:r w:rsidRPr="00405D7C">
        <w:rPr>
          <w:rFonts w:cs="Times New Roman"/>
          <w:szCs w:val="24"/>
        </w:rPr>
        <w:t>cinnamaldehyde</w:t>
      </w:r>
      <w:proofErr w:type="spellEnd"/>
      <w:r w:rsidRPr="00405D7C">
        <w:rPr>
          <w:rFonts w:cs="Times New Roman"/>
          <w:szCs w:val="24"/>
        </w:rPr>
        <w:t xml:space="preserve"> along the gastrointestinal tract of piglets. J </w:t>
      </w:r>
      <w:proofErr w:type="spellStart"/>
      <w:r w:rsidRPr="00405D7C">
        <w:rPr>
          <w:rFonts w:cs="Times New Roman"/>
          <w:szCs w:val="24"/>
        </w:rPr>
        <w:t>Sci</w:t>
      </w:r>
      <w:proofErr w:type="spellEnd"/>
      <w:r w:rsidRPr="00405D7C">
        <w:rPr>
          <w:rFonts w:cs="Times New Roman"/>
          <w:szCs w:val="24"/>
        </w:rPr>
        <w:t xml:space="preserve"> Food Agric</w:t>
      </w:r>
      <w:r w:rsidR="000E275C" w:rsidRPr="00405D7C">
        <w:rPr>
          <w:rFonts w:cs="Times New Roman"/>
          <w:szCs w:val="24"/>
        </w:rPr>
        <w:t>.</w:t>
      </w:r>
      <w:r w:rsidRPr="00405D7C">
        <w:rPr>
          <w:rFonts w:cs="Times New Roman"/>
          <w:szCs w:val="24"/>
        </w:rPr>
        <w:t xml:space="preserve"> 88</w:t>
      </w:r>
      <w:r w:rsidR="000E275C" w:rsidRPr="00405D7C">
        <w:rPr>
          <w:rFonts w:cs="Times New Roman"/>
          <w:szCs w:val="24"/>
        </w:rPr>
        <w:t>(13)</w:t>
      </w:r>
      <w:r w:rsidRPr="00405D7C">
        <w:rPr>
          <w:rFonts w:cs="Times New Roman"/>
          <w:szCs w:val="24"/>
        </w:rPr>
        <w:t>: 2371–2381.</w:t>
      </w:r>
      <w:r w:rsidR="000E275C" w:rsidRPr="00405D7C">
        <w:rPr>
          <w:rFonts w:cs="Times New Roman"/>
          <w:szCs w:val="24"/>
        </w:rPr>
        <w:t xml:space="preserve"> Available from: </w:t>
      </w:r>
      <w:hyperlink r:id="rId41" w:history="1">
        <w:r w:rsidR="000E275C" w:rsidRPr="00405D7C">
          <w:rPr>
            <w:rStyle w:val="Hyperlink"/>
            <w:rFonts w:cs="Times New Roman"/>
            <w:bCs/>
            <w:color w:val="auto"/>
            <w:szCs w:val="24"/>
            <w:u w:val="none"/>
            <w:shd w:val="clear" w:color="auto" w:fill="FFFFFF"/>
          </w:rPr>
          <w:t>https://doi.org/10.1002/jsfa.3358</w:t>
        </w:r>
      </w:hyperlink>
    </w:p>
    <w:p w:rsidR="000E275C" w:rsidRPr="00405D7C" w:rsidRDefault="009F6756" w:rsidP="000E275C">
      <w:pPr>
        <w:suppressLineNumbers/>
        <w:spacing w:after="0" w:line="240" w:lineRule="auto"/>
        <w:ind w:left="785" w:hangingChars="327" w:hanging="785"/>
        <w:rPr>
          <w:rFonts w:cs="Times New Roman"/>
          <w:szCs w:val="24"/>
        </w:rPr>
      </w:pPr>
      <w:r w:rsidRPr="00405D7C">
        <w:rPr>
          <w:rFonts w:cs="Times New Roman"/>
          <w:szCs w:val="24"/>
        </w:rPr>
        <w:t xml:space="preserve">Navarrete P, Toledo I, </w:t>
      </w:r>
      <w:proofErr w:type="spellStart"/>
      <w:r w:rsidRPr="00405D7C">
        <w:rPr>
          <w:rFonts w:cs="Times New Roman"/>
          <w:szCs w:val="24"/>
        </w:rPr>
        <w:t>Mardones</w:t>
      </w:r>
      <w:proofErr w:type="spellEnd"/>
      <w:r w:rsidRPr="00405D7C">
        <w:rPr>
          <w:rFonts w:cs="Times New Roman"/>
          <w:szCs w:val="24"/>
        </w:rPr>
        <w:t xml:space="preserve"> P, </w:t>
      </w:r>
      <w:proofErr w:type="spellStart"/>
      <w:r w:rsidRPr="00405D7C">
        <w:rPr>
          <w:rFonts w:cs="Times New Roman"/>
          <w:szCs w:val="24"/>
        </w:rPr>
        <w:t>Opazo</w:t>
      </w:r>
      <w:proofErr w:type="spellEnd"/>
      <w:r w:rsidRPr="00405D7C">
        <w:rPr>
          <w:rFonts w:cs="Times New Roman"/>
          <w:szCs w:val="24"/>
        </w:rPr>
        <w:t xml:space="preserve"> R, </w:t>
      </w:r>
      <w:proofErr w:type="spellStart"/>
      <w:r w:rsidRPr="00405D7C">
        <w:rPr>
          <w:rFonts w:cs="Times New Roman"/>
          <w:szCs w:val="24"/>
        </w:rPr>
        <w:t>Espejo</w:t>
      </w:r>
      <w:proofErr w:type="spellEnd"/>
      <w:r w:rsidRPr="00405D7C">
        <w:rPr>
          <w:rFonts w:cs="Times New Roman"/>
          <w:szCs w:val="24"/>
        </w:rPr>
        <w:t xml:space="preserve"> R, Romero J. 2010. Effect of </w:t>
      </w:r>
      <w:r w:rsidRPr="00405D7C">
        <w:rPr>
          <w:rFonts w:cs="Times New Roman"/>
          <w:i/>
          <w:szCs w:val="24"/>
        </w:rPr>
        <w:t>Thymus vulgaris</w:t>
      </w:r>
      <w:r w:rsidRPr="00405D7C">
        <w:rPr>
          <w:rFonts w:cs="Times New Roman"/>
          <w:szCs w:val="24"/>
        </w:rPr>
        <w:t xml:space="preserve"> essential oil on intestinal bacterial microbiota of rainbow trout, </w:t>
      </w:r>
      <w:proofErr w:type="spellStart"/>
      <w:r w:rsidRPr="00405D7C">
        <w:rPr>
          <w:rFonts w:cs="Times New Roman"/>
          <w:i/>
          <w:szCs w:val="24"/>
        </w:rPr>
        <w:t>Oncorhynchus</w:t>
      </w:r>
      <w:proofErr w:type="spellEnd"/>
      <w:r w:rsidRPr="00405D7C">
        <w:rPr>
          <w:rFonts w:cs="Times New Roman"/>
          <w:i/>
          <w:szCs w:val="24"/>
        </w:rPr>
        <w:t xml:space="preserve"> mykiss</w:t>
      </w:r>
      <w:r w:rsidRPr="00405D7C">
        <w:rPr>
          <w:rFonts w:cs="Times New Roman"/>
          <w:szCs w:val="24"/>
        </w:rPr>
        <w:t xml:space="preserve"> (</w:t>
      </w:r>
      <w:proofErr w:type="spellStart"/>
      <w:r w:rsidRPr="00405D7C">
        <w:rPr>
          <w:rFonts w:cs="Times New Roman"/>
          <w:szCs w:val="24"/>
        </w:rPr>
        <w:t>Walbaum</w:t>
      </w:r>
      <w:proofErr w:type="spellEnd"/>
      <w:r w:rsidRPr="00405D7C">
        <w:rPr>
          <w:rFonts w:cs="Times New Roman"/>
          <w:szCs w:val="24"/>
        </w:rPr>
        <w:t xml:space="preserve">) and bacterial isolates. </w:t>
      </w:r>
      <w:proofErr w:type="spellStart"/>
      <w:r w:rsidRPr="00405D7C">
        <w:rPr>
          <w:rFonts w:cs="Times New Roman"/>
          <w:szCs w:val="24"/>
        </w:rPr>
        <w:t>Aquac</w:t>
      </w:r>
      <w:proofErr w:type="spellEnd"/>
      <w:r w:rsidRPr="00405D7C">
        <w:rPr>
          <w:rFonts w:cs="Times New Roman"/>
          <w:szCs w:val="24"/>
        </w:rPr>
        <w:t xml:space="preserve"> Res</w:t>
      </w:r>
      <w:r w:rsidR="000E275C" w:rsidRPr="00405D7C">
        <w:rPr>
          <w:rFonts w:cs="Times New Roman"/>
          <w:szCs w:val="24"/>
        </w:rPr>
        <w:t>.</w:t>
      </w:r>
      <w:r w:rsidRPr="00405D7C">
        <w:rPr>
          <w:rFonts w:cs="Times New Roman"/>
          <w:szCs w:val="24"/>
        </w:rPr>
        <w:t xml:space="preserve"> 41</w:t>
      </w:r>
      <w:r w:rsidR="000E275C" w:rsidRPr="00405D7C">
        <w:rPr>
          <w:rFonts w:cs="Times New Roman"/>
          <w:szCs w:val="24"/>
        </w:rPr>
        <w:t>(10)</w:t>
      </w:r>
      <w:r w:rsidRPr="00405D7C">
        <w:rPr>
          <w:rFonts w:cs="Times New Roman"/>
          <w:szCs w:val="24"/>
        </w:rPr>
        <w:t xml:space="preserve">: </w:t>
      </w:r>
      <w:r w:rsidR="000E275C" w:rsidRPr="00405D7C">
        <w:rPr>
          <w:rFonts w:cs="Times New Roman"/>
          <w:szCs w:val="24"/>
        </w:rPr>
        <w:t>e</w:t>
      </w:r>
      <w:r w:rsidRPr="00405D7C">
        <w:rPr>
          <w:rFonts w:cs="Times New Roman"/>
          <w:szCs w:val="24"/>
        </w:rPr>
        <w:t>667–</w:t>
      </w:r>
      <w:r w:rsidR="000E275C" w:rsidRPr="00405D7C">
        <w:rPr>
          <w:rFonts w:cs="Times New Roman"/>
          <w:szCs w:val="24"/>
        </w:rPr>
        <w:t>e</w:t>
      </w:r>
      <w:r w:rsidRPr="00405D7C">
        <w:rPr>
          <w:rFonts w:cs="Times New Roman"/>
          <w:szCs w:val="24"/>
        </w:rPr>
        <w:t>678.</w:t>
      </w:r>
      <w:r w:rsidR="000E275C" w:rsidRPr="00405D7C">
        <w:rPr>
          <w:rFonts w:cs="Times New Roman"/>
          <w:szCs w:val="24"/>
        </w:rPr>
        <w:t xml:space="preserve"> Available from: </w:t>
      </w:r>
      <w:hyperlink r:id="rId42" w:history="1">
        <w:r w:rsidR="000E275C" w:rsidRPr="00405D7C">
          <w:rPr>
            <w:rStyle w:val="Hyperlink"/>
            <w:rFonts w:cs="Times New Roman"/>
            <w:bCs/>
            <w:color w:val="auto"/>
            <w:szCs w:val="24"/>
            <w:u w:val="none"/>
            <w:shd w:val="clear" w:color="auto" w:fill="FFFFFF"/>
          </w:rPr>
          <w:t>https://doi.org/10.1111/j.1365-2109.2010.02590.x</w:t>
        </w:r>
      </w:hyperlink>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Olusola</w:t>
      </w:r>
      <w:proofErr w:type="spellEnd"/>
      <w:r w:rsidRPr="00405D7C">
        <w:rPr>
          <w:rFonts w:cs="Times New Roman"/>
          <w:szCs w:val="24"/>
        </w:rPr>
        <w:t xml:space="preserve"> SE, </w:t>
      </w:r>
      <w:proofErr w:type="spellStart"/>
      <w:r w:rsidRPr="00405D7C">
        <w:rPr>
          <w:rFonts w:cs="Times New Roman"/>
          <w:szCs w:val="24"/>
        </w:rPr>
        <w:t>Emikpe</w:t>
      </w:r>
      <w:proofErr w:type="spellEnd"/>
      <w:r w:rsidRPr="00405D7C">
        <w:rPr>
          <w:rFonts w:cs="Times New Roman"/>
          <w:szCs w:val="24"/>
        </w:rPr>
        <w:t xml:space="preserve"> BO, </w:t>
      </w:r>
      <w:proofErr w:type="spellStart"/>
      <w:r w:rsidRPr="00405D7C">
        <w:rPr>
          <w:rFonts w:cs="Times New Roman"/>
          <w:szCs w:val="24"/>
        </w:rPr>
        <w:t>Olaifa</w:t>
      </w:r>
      <w:proofErr w:type="spellEnd"/>
      <w:r w:rsidRPr="00405D7C">
        <w:rPr>
          <w:rFonts w:cs="Times New Roman"/>
          <w:szCs w:val="24"/>
        </w:rPr>
        <w:t xml:space="preserve"> FE. 2013. The potentials of medicinal plant extracts as bio-antimicrobials in aqua</w:t>
      </w:r>
      <w:r w:rsidR="00405D7C">
        <w:rPr>
          <w:rFonts w:cs="Times New Roman"/>
          <w:szCs w:val="24"/>
        </w:rPr>
        <w:t xml:space="preserve">culture. </w:t>
      </w:r>
      <w:proofErr w:type="spellStart"/>
      <w:r w:rsidR="00405D7C">
        <w:rPr>
          <w:rFonts w:cs="Times New Roman"/>
          <w:szCs w:val="24"/>
        </w:rPr>
        <w:t>Int</w:t>
      </w:r>
      <w:proofErr w:type="spellEnd"/>
      <w:r w:rsidR="00405D7C">
        <w:rPr>
          <w:rFonts w:cs="Times New Roman"/>
          <w:szCs w:val="24"/>
        </w:rPr>
        <w:t xml:space="preserve"> J Med </w:t>
      </w:r>
      <w:proofErr w:type="spellStart"/>
      <w:r w:rsidR="00405D7C">
        <w:rPr>
          <w:rFonts w:cs="Times New Roman"/>
          <w:szCs w:val="24"/>
        </w:rPr>
        <w:t>Arom</w:t>
      </w:r>
      <w:proofErr w:type="spellEnd"/>
      <w:r w:rsidR="00405D7C">
        <w:rPr>
          <w:rFonts w:cs="Times New Roman"/>
          <w:szCs w:val="24"/>
        </w:rPr>
        <w:t xml:space="preserve"> Plants </w:t>
      </w:r>
      <w:r w:rsidRPr="00405D7C">
        <w:rPr>
          <w:rFonts w:cs="Times New Roman"/>
          <w:szCs w:val="24"/>
        </w:rPr>
        <w:t>3: 404-412.</w:t>
      </w:r>
    </w:p>
    <w:p w:rsidR="000E275C" w:rsidRPr="00405D7C" w:rsidRDefault="009F6756" w:rsidP="000E275C">
      <w:pPr>
        <w:suppressLineNumbers/>
        <w:spacing w:after="0" w:line="240" w:lineRule="auto"/>
        <w:ind w:left="785" w:hangingChars="327" w:hanging="785"/>
        <w:rPr>
          <w:rFonts w:cs="Times New Roman"/>
          <w:szCs w:val="24"/>
        </w:rPr>
      </w:pPr>
      <w:proofErr w:type="spellStart"/>
      <w:r w:rsidRPr="00405D7C">
        <w:rPr>
          <w:rFonts w:cs="Times New Roman"/>
          <w:szCs w:val="24"/>
        </w:rPr>
        <w:t>Pavela</w:t>
      </w:r>
      <w:proofErr w:type="spellEnd"/>
      <w:r w:rsidRPr="00405D7C">
        <w:rPr>
          <w:rFonts w:cs="Times New Roman"/>
          <w:szCs w:val="24"/>
        </w:rPr>
        <w:t xml:space="preserve"> R. 2015. Essential oils for the development of eco</w:t>
      </w:r>
      <w:r w:rsidR="000E275C" w:rsidRPr="00405D7C">
        <w:rPr>
          <w:rFonts w:cs="Times New Roman"/>
          <w:szCs w:val="24"/>
        </w:rPr>
        <w:t xml:space="preserve">-friendly mosquito </w:t>
      </w:r>
      <w:proofErr w:type="spellStart"/>
      <w:r w:rsidR="000E275C" w:rsidRPr="00405D7C">
        <w:rPr>
          <w:rFonts w:cs="Times New Roman"/>
          <w:szCs w:val="24"/>
        </w:rPr>
        <w:t>larvicides</w:t>
      </w:r>
      <w:proofErr w:type="spellEnd"/>
      <w:r w:rsidR="000E275C" w:rsidRPr="00405D7C">
        <w:rPr>
          <w:rFonts w:cs="Times New Roman"/>
          <w:szCs w:val="24"/>
        </w:rPr>
        <w:t>: A</w:t>
      </w:r>
      <w:r w:rsidRPr="00405D7C">
        <w:rPr>
          <w:rFonts w:cs="Times New Roman"/>
          <w:szCs w:val="24"/>
        </w:rPr>
        <w:t xml:space="preserve"> review. Industrial Crops Prod</w:t>
      </w:r>
      <w:r w:rsidR="000E275C" w:rsidRPr="00405D7C">
        <w:rPr>
          <w:rFonts w:cs="Times New Roman"/>
          <w:szCs w:val="24"/>
        </w:rPr>
        <w:t>.</w:t>
      </w:r>
      <w:r w:rsidRPr="00405D7C">
        <w:rPr>
          <w:rFonts w:cs="Times New Roman"/>
          <w:szCs w:val="24"/>
        </w:rPr>
        <w:t xml:space="preserve"> 76: 174–187.</w:t>
      </w:r>
      <w:r w:rsidR="000E275C" w:rsidRPr="00405D7C">
        <w:rPr>
          <w:rFonts w:cs="Times New Roman"/>
          <w:szCs w:val="24"/>
        </w:rPr>
        <w:t xml:space="preserve"> Available from: </w:t>
      </w:r>
      <w:hyperlink r:id="rId43" w:tgtFrame="_blank" w:tooltip="Persistent link using digital object identifier" w:history="1">
        <w:r w:rsidR="000E275C" w:rsidRPr="00405D7C">
          <w:rPr>
            <w:rStyle w:val="Hyperlink"/>
            <w:rFonts w:cs="Times New Roman"/>
            <w:color w:val="auto"/>
            <w:szCs w:val="24"/>
            <w:u w:val="none"/>
          </w:rPr>
          <w:t>https://doi.org/10.1016/j.indcrop.2015.06.050</w:t>
        </w:r>
      </w:hyperlink>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Peñaﬂorida</w:t>
      </w:r>
      <w:proofErr w:type="spellEnd"/>
      <w:r w:rsidRPr="00405D7C">
        <w:rPr>
          <w:rFonts w:cs="Times New Roman"/>
          <w:szCs w:val="24"/>
        </w:rPr>
        <w:t xml:space="preserve"> VD. 1995. Effect of papaya leaf meal on the </w:t>
      </w:r>
      <w:proofErr w:type="spellStart"/>
      <w:r w:rsidRPr="00405D7C">
        <w:rPr>
          <w:rFonts w:cs="Times New Roman"/>
          <w:i/>
          <w:szCs w:val="24"/>
        </w:rPr>
        <w:t>Penaeus</w:t>
      </w:r>
      <w:proofErr w:type="spellEnd"/>
      <w:r w:rsidRPr="00405D7C">
        <w:rPr>
          <w:rFonts w:cs="Times New Roman"/>
          <w:i/>
          <w:szCs w:val="24"/>
        </w:rPr>
        <w:t xml:space="preserve"> monodon</w:t>
      </w:r>
      <w:r w:rsidRPr="00405D7C">
        <w:rPr>
          <w:rFonts w:cs="Times New Roman"/>
          <w:szCs w:val="24"/>
        </w:rPr>
        <w:t xml:space="preserve"> post larvae. Israeli J </w:t>
      </w:r>
      <w:proofErr w:type="spellStart"/>
      <w:r w:rsidRPr="00405D7C">
        <w:rPr>
          <w:rFonts w:cs="Times New Roman"/>
          <w:szCs w:val="24"/>
        </w:rPr>
        <w:t>Aquac</w:t>
      </w:r>
      <w:proofErr w:type="spellEnd"/>
      <w:r w:rsidRPr="00405D7C">
        <w:rPr>
          <w:rFonts w:cs="Times New Roman"/>
          <w:szCs w:val="24"/>
        </w:rPr>
        <w:t xml:space="preserve"> </w:t>
      </w:r>
      <w:proofErr w:type="spellStart"/>
      <w:r w:rsidRPr="00405D7C">
        <w:rPr>
          <w:rFonts w:cs="Times New Roman"/>
          <w:szCs w:val="24"/>
        </w:rPr>
        <w:t>Bamidgeh</w:t>
      </w:r>
      <w:proofErr w:type="spellEnd"/>
      <w:r w:rsidR="000E275C" w:rsidRPr="00405D7C">
        <w:rPr>
          <w:rFonts w:cs="Times New Roman"/>
          <w:szCs w:val="24"/>
        </w:rPr>
        <w:t>.</w:t>
      </w:r>
      <w:r w:rsidRPr="00405D7C">
        <w:rPr>
          <w:rFonts w:cs="Times New Roman"/>
          <w:szCs w:val="24"/>
        </w:rPr>
        <w:t xml:space="preserve"> 47: 25–33.</w:t>
      </w:r>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Platel</w:t>
      </w:r>
      <w:proofErr w:type="spellEnd"/>
      <w:r w:rsidRPr="00405D7C">
        <w:rPr>
          <w:rFonts w:cs="Times New Roman"/>
          <w:szCs w:val="24"/>
        </w:rPr>
        <w:t xml:space="preserve"> K, Srinivasan K. 2004. Digestive stimulant action of spices: a myth or reality? Indian J Med Res</w:t>
      </w:r>
      <w:r w:rsidR="000E275C" w:rsidRPr="00405D7C">
        <w:rPr>
          <w:rFonts w:cs="Times New Roman"/>
          <w:szCs w:val="24"/>
        </w:rPr>
        <w:t>.</w:t>
      </w:r>
      <w:r w:rsidRPr="00405D7C">
        <w:rPr>
          <w:rFonts w:cs="Times New Roman"/>
          <w:szCs w:val="24"/>
        </w:rPr>
        <w:t xml:space="preserve"> 119</w:t>
      </w:r>
      <w:r w:rsidR="000E275C" w:rsidRPr="00405D7C">
        <w:rPr>
          <w:rFonts w:cs="Times New Roman"/>
          <w:szCs w:val="24"/>
        </w:rPr>
        <w:t>(5)</w:t>
      </w:r>
      <w:r w:rsidRPr="00405D7C">
        <w:rPr>
          <w:rFonts w:cs="Times New Roman"/>
          <w:szCs w:val="24"/>
        </w:rPr>
        <w:t>: 167–179.</w:t>
      </w:r>
    </w:p>
    <w:p w:rsidR="002B438A" w:rsidRPr="00405D7C" w:rsidRDefault="009F6756" w:rsidP="002B438A">
      <w:pPr>
        <w:suppressLineNumbers/>
        <w:spacing w:after="0" w:line="240" w:lineRule="auto"/>
        <w:ind w:left="785" w:hangingChars="327" w:hanging="785"/>
        <w:rPr>
          <w:rFonts w:cs="Times New Roman"/>
          <w:szCs w:val="24"/>
        </w:rPr>
      </w:pPr>
      <w:r w:rsidRPr="00405D7C">
        <w:rPr>
          <w:rFonts w:cs="Times New Roman"/>
          <w:szCs w:val="24"/>
        </w:rPr>
        <w:t>Ran C, Hu J, Liu W, Liu Z, He S, Da</w:t>
      </w:r>
      <w:r w:rsidR="002B438A" w:rsidRPr="00405D7C">
        <w:rPr>
          <w:rFonts w:cs="Times New Roman"/>
          <w:szCs w:val="24"/>
        </w:rPr>
        <w:t xml:space="preserve">n BCT, et al. 2016. </w:t>
      </w:r>
      <w:proofErr w:type="spellStart"/>
      <w:r w:rsidR="002B438A" w:rsidRPr="00405D7C">
        <w:rPr>
          <w:rFonts w:cs="Times New Roman"/>
          <w:szCs w:val="24"/>
        </w:rPr>
        <w:t>Thymol</w:t>
      </w:r>
      <w:proofErr w:type="spellEnd"/>
      <w:r w:rsidR="002B438A" w:rsidRPr="00405D7C">
        <w:rPr>
          <w:rFonts w:cs="Times New Roman"/>
          <w:szCs w:val="24"/>
        </w:rPr>
        <w:t xml:space="preserve"> and </w:t>
      </w:r>
      <w:proofErr w:type="spellStart"/>
      <w:r w:rsidR="002B438A" w:rsidRPr="00405D7C">
        <w:rPr>
          <w:rFonts w:cs="Times New Roman"/>
          <w:szCs w:val="24"/>
        </w:rPr>
        <w:t>Carvacrol</w:t>
      </w:r>
      <w:proofErr w:type="spellEnd"/>
      <w:r w:rsidR="002B438A" w:rsidRPr="00405D7C">
        <w:rPr>
          <w:rFonts w:cs="Times New Roman"/>
          <w:szCs w:val="24"/>
        </w:rPr>
        <w:t xml:space="preserve"> Affect Hybrid Tilapia through the Combination of Direct St</w:t>
      </w:r>
      <w:r w:rsidRPr="00405D7C">
        <w:rPr>
          <w:rFonts w:cs="Times New Roman"/>
          <w:szCs w:val="24"/>
        </w:rPr>
        <w:t>imulatio</w:t>
      </w:r>
      <w:r w:rsidR="002B438A" w:rsidRPr="00405D7C">
        <w:rPr>
          <w:rFonts w:cs="Times New Roman"/>
          <w:szCs w:val="24"/>
        </w:rPr>
        <w:t>n and an Intestinal Microbiota-Mediated Effect: Insights from a Germ-Free Zebrafish M</w:t>
      </w:r>
      <w:r w:rsidRPr="00405D7C">
        <w:rPr>
          <w:rFonts w:cs="Times New Roman"/>
          <w:szCs w:val="24"/>
        </w:rPr>
        <w:t xml:space="preserve">odel. J </w:t>
      </w:r>
      <w:proofErr w:type="spellStart"/>
      <w:r w:rsidRPr="00405D7C">
        <w:rPr>
          <w:rFonts w:cs="Times New Roman"/>
          <w:szCs w:val="24"/>
        </w:rPr>
        <w:t>Nutr</w:t>
      </w:r>
      <w:proofErr w:type="spellEnd"/>
      <w:r w:rsidR="000E275C" w:rsidRPr="00405D7C">
        <w:rPr>
          <w:rFonts w:cs="Times New Roman"/>
          <w:szCs w:val="24"/>
        </w:rPr>
        <w:t>.</w:t>
      </w:r>
      <w:r w:rsidRPr="00405D7C">
        <w:rPr>
          <w:rFonts w:cs="Times New Roman"/>
          <w:szCs w:val="24"/>
        </w:rPr>
        <w:t xml:space="preserve"> 146</w:t>
      </w:r>
      <w:r w:rsidR="000E275C" w:rsidRPr="00405D7C">
        <w:rPr>
          <w:rFonts w:cs="Times New Roman"/>
          <w:szCs w:val="24"/>
        </w:rPr>
        <w:t>(5)</w:t>
      </w:r>
      <w:r w:rsidRPr="00405D7C">
        <w:rPr>
          <w:rFonts w:cs="Times New Roman"/>
          <w:szCs w:val="24"/>
        </w:rPr>
        <w:t>: 1132–1140.</w:t>
      </w:r>
      <w:r w:rsidR="002B438A" w:rsidRPr="00405D7C">
        <w:rPr>
          <w:rFonts w:cs="Times New Roman"/>
          <w:szCs w:val="24"/>
        </w:rPr>
        <w:t xml:space="preserve"> Available from: </w:t>
      </w:r>
      <w:hyperlink r:id="rId44" w:history="1">
        <w:r w:rsidR="002B438A" w:rsidRPr="00405D7C">
          <w:rPr>
            <w:rStyle w:val="Hyperlink"/>
            <w:rFonts w:cs="Times New Roman"/>
            <w:color w:val="auto"/>
            <w:szCs w:val="24"/>
            <w:u w:val="none"/>
            <w:bdr w:val="none" w:sz="0" w:space="0" w:color="auto" w:frame="1"/>
            <w:shd w:val="clear" w:color="auto" w:fill="FFFFFF"/>
          </w:rPr>
          <w:t>https://doi.org/10.3945/jn.115.229377</w:t>
        </w:r>
      </w:hyperlink>
    </w:p>
    <w:p w:rsidR="002B438A" w:rsidRPr="00405D7C" w:rsidRDefault="009F6756" w:rsidP="002B438A">
      <w:pPr>
        <w:suppressLineNumbers/>
        <w:spacing w:after="0" w:line="240" w:lineRule="auto"/>
        <w:ind w:left="785" w:hangingChars="327" w:hanging="785"/>
        <w:rPr>
          <w:rFonts w:cs="Times New Roman"/>
          <w:szCs w:val="24"/>
        </w:rPr>
      </w:pPr>
      <w:proofErr w:type="spellStart"/>
      <w:r w:rsidRPr="00405D7C">
        <w:rPr>
          <w:rFonts w:cs="Times New Roman"/>
          <w:szCs w:val="24"/>
        </w:rPr>
        <w:t>Reveco</w:t>
      </w:r>
      <w:proofErr w:type="spellEnd"/>
      <w:r w:rsidRPr="00405D7C">
        <w:rPr>
          <w:rFonts w:cs="Times New Roman"/>
          <w:szCs w:val="24"/>
        </w:rPr>
        <w:t xml:space="preserve"> FE, </w:t>
      </w:r>
      <w:proofErr w:type="spellStart"/>
      <w:r w:rsidRPr="00405D7C">
        <w:rPr>
          <w:rFonts w:cs="Times New Roman"/>
          <w:szCs w:val="24"/>
        </w:rPr>
        <w:t>Øverland</w:t>
      </w:r>
      <w:proofErr w:type="spellEnd"/>
      <w:r w:rsidRPr="00405D7C">
        <w:rPr>
          <w:rFonts w:cs="Times New Roman"/>
          <w:szCs w:val="24"/>
        </w:rPr>
        <w:t xml:space="preserve"> M, </w:t>
      </w:r>
      <w:proofErr w:type="spellStart"/>
      <w:r w:rsidRPr="00405D7C">
        <w:rPr>
          <w:rFonts w:cs="Times New Roman"/>
          <w:szCs w:val="24"/>
        </w:rPr>
        <w:t>Romarheim</w:t>
      </w:r>
      <w:proofErr w:type="spellEnd"/>
      <w:r w:rsidRPr="00405D7C">
        <w:rPr>
          <w:rFonts w:cs="Times New Roman"/>
          <w:szCs w:val="24"/>
        </w:rPr>
        <w:t xml:space="preserve"> OH, </w:t>
      </w:r>
      <w:proofErr w:type="spellStart"/>
      <w:r w:rsidRPr="00405D7C">
        <w:rPr>
          <w:rFonts w:cs="Times New Roman"/>
          <w:szCs w:val="24"/>
        </w:rPr>
        <w:t>Mydland</w:t>
      </w:r>
      <w:proofErr w:type="spellEnd"/>
      <w:r w:rsidRPr="00405D7C">
        <w:rPr>
          <w:rFonts w:cs="Times New Roman"/>
          <w:szCs w:val="24"/>
        </w:rPr>
        <w:t xml:space="preserve"> LT. 2014. Intestinal bacterial community structure differs between healthy and inflamed intestines in Atlantic salmon (</w:t>
      </w:r>
      <w:r w:rsidRPr="00405D7C">
        <w:rPr>
          <w:rFonts w:cs="Times New Roman"/>
          <w:i/>
          <w:szCs w:val="24"/>
        </w:rPr>
        <w:t xml:space="preserve">Salmo </w:t>
      </w:r>
      <w:proofErr w:type="spellStart"/>
      <w:r w:rsidRPr="00405D7C">
        <w:rPr>
          <w:rFonts w:cs="Times New Roman"/>
          <w:i/>
          <w:szCs w:val="24"/>
        </w:rPr>
        <w:t>salar</w:t>
      </w:r>
      <w:proofErr w:type="spellEnd"/>
      <w:r w:rsidRPr="00405D7C">
        <w:rPr>
          <w:rFonts w:cs="Times New Roman"/>
          <w:szCs w:val="24"/>
        </w:rPr>
        <w:t xml:space="preserve"> L.). Aquaculture 420</w:t>
      </w:r>
      <w:r w:rsidR="002B438A" w:rsidRPr="00405D7C">
        <w:rPr>
          <w:rFonts w:cs="Times New Roman"/>
          <w:szCs w:val="24"/>
        </w:rPr>
        <w:t>-421</w:t>
      </w:r>
      <w:r w:rsidRPr="00405D7C">
        <w:rPr>
          <w:rFonts w:cs="Times New Roman"/>
          <w:szCs w:val="24"/>
        </w:rPr>
        <w:t>: 262-269.</w:t>
      </w:r>
      <w:r w:rsidR="002B438A" w:rsidRPr="00405D7C">
        <w:rPr>
          <w:rFonts w:cs="Times New Roman"/>
          <w:szCs w:val="24"/>
        </w:rPr>
        <w:t xml:space="preserve"> Available from: </w:t>
      </w:r>
      <w:hyperlink r:id="rId45" w:tgtFrame="_blank" w:tooltip="Persistent link using digital object identifier" w:history="1">
        <w:r w:rsidR="002B438A" w:rsidRPr="00405D7C">
          <w:rPr>
            <w:rStyle w:val="Hyperlink"/>
            <w:rFonts w:cs="Times New Roman"/>
            <w:color w:val="auto"/>
            <w:szCs w:val="24"/>
            <w:u w:val="none"/>
          </w:rPr>
          <w:t>https://doi.org/10.1016/j.aquaculture.2013.11.007</w:t>
        </w:r>
      </w:hyperlink>
    </w:p>
    <w:p w:rsidR="009F6756" w:rsidRPr="00405D7C" w:rsidRDefault="009F6756" w:rsidP="009F6756">
      <w:pPr>
        <w:suppressLineNumbers/>
        <w:spacing w:after="0" w:line="240" w:lineRule="auto"/>
        <w:ind w:left="785" w:hangingChars="327" w:hanging="785"/>
        <w:rPr>
          <w:rFonts w:cs="Times New Roman"/>
          <w:szCs w:val="24"/>
        </w:rPr>
      </w:pPr>
      <w:proofErr w:type="spellStart"/>
      <w:r w:rsidRPr="00405D7C">
        <w:rPr>
          <w:rFonts w:cs="Times New Roman"/>
          <w:szCs w:val="24"/>
        </w:rPr>
        <w:t>Reverter</w:t>
      </w:r>
      <w:proofErr w:type="spellEnd"/>
      <w:r w:rsidRPr="00405D7C">
        <w:rPr>
          <w:rFonts w:cs="Times New Roman"/>
          <w:szCs w:val="24"/>
        </w:rPr>
        <w:t xml:space="preserve"> M, Bontemps N, </w:t>
      </w:r>
      <w:proofErr w:type="spellStart"/>
      <w:r w:rsidRPr="00405D7C">
        <w:rPr>
          <w:rFonts w:cs="Times New Roman"/>
          <w:szCs w:val="24"/>
        </w:rPr>
        <w:t>Lecchini</w:t>
      </w:r>
      <w:proofErr w:type="spellEnd"/>
      <w:r w:rsidRPr="00405D7C">
        <w:rPr>
          <w:rFonts w:cs="Times New Roman"/>
          <w:szCs w:val="24"/>
        </w:rPr>
        <w:t xml:space="preserve"> D, </w:t>
      </w:r>
      <w:proofErr w:type="spellStart"/>
      <w:r w:rsidRPr="00405D7C">
        <w:rPr>
          <w:rFonts w:cs="Times New Roman"/>
          <w:szCs w:val="24"/>
        </w:rPr>
        <w:t>Banaigs</w:t>
      </w:r>
      <w:proofErr w:type="spellEnd"/>
      <w:r w:rsidRPr="00405D7C">
        <w:rPr>
          <w:rFonts w:cs="Times New Roman"/>
          <w:szCs w:val="24"/>
        </w:rPr>
        <w:t xml:space="preserve"> B, </w:t>
      </w:r>
      <w:proofErr w:type="spellStart"/>
      <w:r w:rsidRPr="00405D7C">
        <w:rPr>
          <w:rFonts w:cs="Times New Roman"/>
          <w:szCs w:val="24"/>
        </w:rPr>
        <w:t>Sasal</w:t>
      </w:r>
      <w:proofErr w:type="spellEnd"/>
      <w:r w:rsidRPr="00405D7C">
        <w:rPr>
          <w:rFonts w:cs="Times New Roman"/>
          <w:szCs w:val="24"/>
        </w:rPr>
        <w:t xml:space="preserve"> P. 2014. Use of plant extracts in fish aquaculture as an alternative to chemotherapy: Current status and future perspectives. Aquaculture. 433: 50–61. Available from:  </w:t>
      </w:r>
      <w:hyperlink r:id="rId46" w:tgtFrame="_blank" w:tooltip="Persistent link using digital object identifier" w:history="1">
        <w:r w:rsidRPr="00405D7C">
          <w:rPr>
            <w:rStyle w:val="Hyperlink"/>
            <w:rFonts w:cs="Times New Roman"/>
            <w:color w:val="auto"/>
            <w:szCs w:val="24"/>
            <w:u w:val="none"/>
          </w:rPr>
          <w:t>https://doi.org/10.1016/j.aquaculture.2014.05.048</w:t>
        </w:r>
      </w:hyperlink>
    </w:p>
    <w:p w:rsidR="009F6756" w:rsidRPr="00405D7C" w:rsidRDefault="009F6756" w:rsidP="009F6756">
      <w:pPr>
        <w:suppressLineNumbers/>
        <w:spacing w:after="0" w:line="240" w:lineRule="auto"/>
        <w:ind w:left="785" w:hangingChars="327" w:hanging="785"/>
        <w:rPr>
          <w:rFonts w:cs="Times New Roman"/>
          <w:szCs w:val="24"/>
        </w:rPr>
      </w:pPr>
      <w:proofErr w:type="spellStart"/>
      <w:r w:rsidRPr="00405D7C">
        <w:rPr>
          <w:rFonts w:cs="Times New Roman"/>
          <w:szCs w:val="24"/>
        </w:rPr>
        <w:t>Ringø</w:t>
      </w:r>
      <w:proofErr w:type="spellEnd"/>
      <w:r w:rsidRPr="00405D7C">
        <w:rPr>
          <w:rFonts w:cs="Times New Roman"/>
          <w:szCs w:val="24"/>
        </w:rPr>
        <w:t xml:space="preserve"> E, </w:t>
      </w:r>
      <w:proofErr w:type="spellStart"/>
      <w:r w:rsidRPr="00405D7C">
        <w:rPr>
          <w:rFonts w:cs="Times New Roman"/>
          <w:szCs w:val="24"/>
        </w:rPr>
        <w:t>Sperstad</w:t>
      </w:r>
      <w:proofErr w:type="spellEnd"/>
      <w:r w:rsidRPr="00405D7C">
        <w:rPr>
          <w:rFonts w:cs="Times New Roman"/>
          <w:szCs w:val="24"/>
        </w:rPr>
        <w:t xml:space="preserve"> S, </w:t>
      </w:r>
      <w:proofErr w:type="spellStart"/>
      <w:r w:rsidRPr="00405D7C">
        <w:rPr>
          <w:rFonts w:cs="Times New Roman"/>
          <w:szCs w:val="24"/>
        </w:rPr>
        <w:t>Kraugerud</w:t>
      </w:r>
      <w:proofErr w:type="spellEnd"/>
      <w:r w:rsidRPr="00405D7C">
        <w:rPr>
          <w:rFonts w:cs="Times New Roman"/>
          <w:szCs w:val="24"/>
        </w:rPr>
        <w:t xml:space="preserve"> OF, </w:t>
      </w:r>
      <w:proofErr w:type="spellStart"/>
      <w:r w:rsidRPr="00405D7C">
        <w:rPr>
          <w:rFonts w:cs="Times New Roman"/>
          <w:szCs w:val="24"/>
        </w:rPr>
        <w:t>Krogahl</w:t>
      </w:r>
      <w:proofErr w:type="spellEnd"/>
      <w:r w:rsidRPr="00405D7C">
        <w:rPr>
          <w:rFonts w:cs="Times New Roman"/>
          <w:szCs w:val="24"/>
        </w:rPr>
        <w:t xml:space="preserve"> Å. 2008. Use of 16S </w:t>
      </w:r>
      <w:proofErr w:type="spellStart"/>
      <w:r w:rsidRPr="00405D7C">
        <w:rPr>
          <w:rFonts w:cs="Times New Roman"/>
          <w:szCs w:val="24"/>
        </w:rPr>
        <w:t>rRNA</w:t>
      </w:r>
      <w:proofErr w:type="spellEnd"/>
      <w:r w:rsidRPr="00405D7C">
        <w:rPr>
          <w:rFonts w:cs="Times New Roman"/>
          <w:szCs w:val="24"/>
        </w:rPr>
        <w:t xml:space="preserve"> gene sequencing analysis to </w:t>
      </w:r>
      <w:proofErr w:type="spellStart"/>
      <w:r w:rsidRPr="00405D7C">
        <w:rPr>
          <w:rFonts w:cs="Times New Roman"/>
          <w:szCs w:val="24"/>
        </w:rPr>
        <w:t>characterise</w:t>
      </w:r>
      <w:proofErr w:type="spellEnd"/>
      <w:r w:rsidRPr="00405D7C">
        <w:rPr>
          <w:rFonts w:cs="Times New Roman"/>
          <w:szCs w:val="24"/>
        </w:rPr>
        <w:t xml:space="preserve"> </w:t>
      </w:r>
      <w:proofErr w:type="spellStart"/>
      <w:r w:rsidRPr="00405D7C">
        <w:rPr>
          <w:rFonts w:cs="Times New Roman"/>
          <w:szCs w:val="24"/>
        </w:rPr>
        <w:t>culturable</w:t>
      </w:r>
      <w:proofErr w:type="spellEnd"/>
      <w:r w:rsidRPr="00405D7C">
        <w:rPr>
          <w:rFonts w:cs="Times New Roman"/>
          <w:szCs w:val="24"/>
        </w:rPr>
        <w:t xml:space="preserve"> intestinal bacteria in Atlantic salmon (</w:t>
      </w:r>
      <w:r w:rsidRPr="00405D7C">
        <w:rPr>
          <w:rFonts w:cs="Times New Roman"/>
          <w:i/>
          <w:szCs w:val="24"/>
        </w:rPr>
        <w:t xml:space="preserve">Salmo </w:t>
      </w:r>
      <w:proofErr w:type="spellStart"/>
      <w:r w:rsidRPr="00405D7C">
        <w:rPr>
          <w:rFonts w:cs="Times New Roman"/>
          <w:i/>
          <w:szCs w:val="24"/>
        </w:rPr>
        <w:t>salar</w:t>
      </w:r>
      <w:proofErr w:type="spellEnd"/>
      <w:r w:rsidRPr="00405D7C">
        <w:rPr>
          <w:rFonts w:cs="Times New Roman"/>
          <w:szCs w:val="24"/>
        </w:rPr>
        <w:t xml:space="preserve"> L.) fed diets with non-starch polysaccharides from soy and cellulose. </w:t>
      </w:r>
      <w:proofErr w:type="spellStart"/>
      <w:r w:rsidRPr="00405D7C">
        <w:rPr>
          <w:rFonts w:cs="Times New Roman"/>
          <w:szCs w:val="24"/>
        </w:rPr>
        <w:t>Aquac</w:t>
      </w:r>
      <w:proofErr w:type="spellEnd"/>
      <w:r w:rsidRPr="00405D7C">
        <w:rPr>
          <w:rFonts w:cs="Times New Roman"/>
          <w:szCs w:val="24"/>
        </w:rPr>
        <w:t xml:space="preserve"> Res. 39(10): 1087–1100. Available from: </w:t>
      </w:r>
      <w:hyperlink r:id="rId47" w:history="1">
        <w:r w:rsidRPr="00405D7C">
          <w:rPr>
            <w:rStyle w:val="Hyperlink"/>
            <w:rFonts w:cs="Times New Roman"/>
            <w:bCs/>
            <w:color w:val="auto"/>
            <w:szCs w:val="24"/>
            <w:u w:val="none"/>
            <w:shd w:val="clear" w:color="auto" w:fill="FFFFFF"/>
          </w:rPr>
          <w:t>https://doi.org/10.1111/j.1365-2109.2008.01972.x</w:t>
        </w:r>
      </w:hyperlink>
    </w:p>
    <w:p w:rsidR="009F6756" w:rsidRPr="00405D7C" w:rsidRDefault="009F6756" w:rsidP="009F6756">
      <w:pPr>
        <w:suppressLineNumbers/>
        <w:spacing w:after="0" w:line="240" w:lineRule="auto"/>
        <w:ind w:left="785" w:hangingChars="327" w:hanging="785"/>
        <w:rPr>
          <w:rFonts w:cs="Times New Roman"/>
          <w:szCs w:val="24"/>
        </w:rPr>
      </w:pPr>
      <w:proofErr w:type="spellStart"/>
      <w:r w:rsidRPr="00405D7C">
        <w:rPr>
          <w:rFonts w:cs="Times New Roman"/>
          <w:szCs w:val="24"/>
        </w:rPr>
        <w:t>Rombout</w:t>
      </w:r>
      <w:proofErr w:type="spellEnd"/>
      <w:r w:rsidRPr="00405D7C">
        <w:rPr>
          <w:rFonts w:cs="Times New Roman"/>
          <w:szCs w:val="24"/>
        </w:rPr>
        <w:t xml:space="preserve"> JH, </w:t>
      </w:r>
      <w:proofErr w:type="spellStart"/>
      <w:r w:rsidRPr="00405D7C">
        <w:rPr>
          <w:rFonts w:cs="Times New Roman"/>
          <w:szCs w:val="24"/>
        </w:rPr>
        <w:t>Abelli</w:t>
      </w:r>
      <w:proofErr w:type="spellEnd"/>
      <w:r w:rsidRPr="00405D7C">
        <w:rPr>
          <w:rFonts w:cs="Times New Roman"/>
          <w:szCs w:val="24"/>
        </w:rPr>
        <w:t xml:space="preserve"> L, </w:t>
      </w:r>
      <w:proofErr w:type="spellStart"/>
      <w:r w:rsidRPr="00405D7C">
        <w:rPr>
          <w:rFonts w:cs="Times New Roman"/>
          <w:szCs w:val="24"/>
        </w:rPr>
        <w:t>Picchietti</w:t>
      </w:r>
      <w:proofErr w:type="spellEnd"/>
      <w:r w:rsidRPr="00405D7C">
        <w:rPr>
          <w:rFonts w:cs="Times New Roman"/>
          <w:szCs w:val="24"/>
        </w:rPr>
        <w:t xml:space="preserve"> S, </w:t>
      </w:r>
      <w:proofErr w:type="spellStart"/>
      <w:r w:rsidRPr="00405D7C">
        <w:rPr>
          <w:rFonts w:cs="Times New Roman"/>
          <w:szCs w:val="24"/>
        </w:rPr>
        <w:t>Scapigliati</w:t>
      </w:r>
      <w:proofErr w:type="spellEnd"/>
      <w:r w:rsidRPr="00405D7C">
        <w:rPr>
          <w:rFonts w:cs="Times New Roman"/>
          <w:szCs w:val="24"/>
        </w:rPr>
        <w:t xml:space="preserve"> G, Kiron V. 2011. Teleost intestinal immunology. Fish </w:t>
      </w:r>
      <w:proofErr w:type="spellStart"/>
      <w:r w:rsidRPr="00405D7C">
        <w:rPr>
          <w:rFonts w:cs="Times New Roman"/>
          <w:szCs w:val="24"/>
        </w:rPr>
        <w:t>hellfish</w:t>
      </w:r>
      <w:proofErr w:type="spellEnd"/>
      <w:r w:rsidRPr="00405D7C">
        <w:rPr>
          <w:rFonts w:cs="Times New Roman"/>
          <w:szCs w:val="24"/>
        </w:rPr>
        <w:t xml:space="preserve"> </w:t>
      </w:r>
      <w:proofErr w:type="spellStart"/>
      <w:r w:rsidRPr="00405D7C">
        <w:rPr>
          <w:rFonts w:cs="Times New Roman"/>
          <w:szCs w:val="24"/>
        </w:rPr>
        <w:t>Immunol</w:t>
      </w:r>
      <w:proofErr w:type="spellEnd"/>
      <w:r w:rsidRPr="00405D7C">
        <w:rPr>
          <w:rFonts w:cs="Times New Roman"/>
          <w:szCs w:val="24"/>
        </w:rPr>
        <w:t xml:space="preserve">. 31(5): 616–626. Available from: </w:t>
      </w:r>
      <w:hyperlink r:id="rId48" w:tgtFrame="_blank" w:tooltip="Persistent link using digital object identifier" w:history="1">
        <w:r w:rsidRPr="00405D7C">
          <w:rPr>
            <w:rStyle w:val="Hyperlink"/>
            <w:rFonts w:cs="Times New Roman"/>
            <w:color w:val="auto"/>
            <w:szCs w:val="24"/>
            <w:u w:val="none"/>
          </w:rPr>
          <w:t>https://doi.org/10.1016/j.fsi.2010.09.001</w:t>
        </w:r>
      </w:hyperlink>
    </w:p>
    <w:p w:rsidR="009F6756" w:rsidRPr="00405D7C" w:rsidRDefault="009F6756" w:rsidP="009F6756">
      <w:pPr>
        <w:suppressLineNumbers/>
        <w:spacing w:after="0" w:line="240" w:lineRule="auto"/>
        <w:ind w:left="785" w:hangingChars="327" w:hanging="785"/>
        <w:rPr>
          <w:rFonts w:cs="Times New Roman"/>
          <w:szCs w:val="24"/>
        </w:rPr>
      </w:pPr>
      <w:r w:rsidRPr="00405D7C">
        <w:rPr>
          <w:rFonts w:cs="Times New Roman"/>
          <w:szCs w:val="24"/>
        </w:rPr>
        <w:t xml:space="preserve">Rosen GD. 1996. Feed additive nomenclature. World Poultry </w:t>
      </w:r>
      <w:proofErr w:type="spellStart"/>
      <w:r w:rsidRPr="00405D7C">
        <w:rPr>
          <w:rFonts w:cs="Times New Roman"/>
          <w:szCs w:val="24"/>
        </w:rPr>
        <w:t>Sci</w:t>
      </w:r>
      <w:proofErr w:type="spellEnd"/>
      <w:r w:rsidRPr="00405D7C">
        <w:rPr>
          <w:rFonts w:cs="Times New Roman"/>
          <w:szCs w:val="24"/>
        </w:rPr>
        <w:t xml:space="preserve"> J. 52(1): 53-57. Available from: </w:t>
      </w:r>
      <w:hyperlink r:id="rId49" w:history="1">
        <w:r w:rsidRPr="00405D7C">
          <w:rPr>
            <w:rStyle w:val="Hyperlink"/>
            <w:rFonts w:cs="Times New Roman"/>
            <w:color w:val="auto"/>
            <w:szCs w:val="24"/>
            <w:u w:val="none"/>
          </w:rPr>
          <w:t>https://doi.org/10.1079/WPS19960005</w:t>
        </w:r>
      </w:hyperlink>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Schaedler</w:t>
      </w:r>
      <w:proofErr w:type="spellEnd"/>
      <w:r w:rsidRPr="00405D7C">
        <w:rPr>
          <w:rFonts w:cs="Times New Roman"/>
          <w:szCs w:val="24"/>
        </w:rPr>
        <w:t xml:space="preserve"> RW. 1973. The relationship between the host and its intestinal micro flora. </w:t>
      </w:r>
      <w:proofErr w:type="spellStart"/>
      <w:r w:rsidRPr="00405D7C">
        <w:rPr>
          <w:rFonts w:cs="Times New Roman"/>
          <w:szCs w:val="24"/>
        </w:rPr>
        <w:t>Proc</w:t>
      </w:r>
      <w:proofErr w:type="spellEnd"/>
      <w:r w:rsidRPr="00405D7C">
        <w:rPr>
          <w:rFonts w:cs="Times New Roman"/>
          <w:szCs w:val="24"/>
        </w:rPr>
        <w:t xml:space="preserve"> </w:t>
      </w:r>
      <w:proofErr w:type="spellStart"/>
      <w:r w:rsidRPr="00405D7C">
        <w:rPr>
          <w:rFonts w:cs="Times New Roman"/>
          <w:szCs w:val="24"/>
        </w:rPr>
        <w:t>Nutr</w:t>
      </w:r>
      <w:proofErr w:type="spellEnd"/>
      <w:r w:rsidRPr="00405D7C">
        <w:rPr>
          <w:rFonts w:cs="Times New Roman"/>
          <w:szCs w:val="24"/>
        </w:rPr>
        <w:t xml:space="preserve"> Soc. 32: 41–47.</w:t>
      </w:r>
    </w:p>
    <w:p w:rsidR="009F6756" w:rsidRPr="00405D7C" w:rsidRDefault="009F6756" w:rsidP="009F6756">
      <w:pPr>
        <w:suppressLineNumbers/>
        <w:spacing w:after="0" w:line="240" w:lineRule="auto"/>
        <w:ind w:left="785" w:hangingChars="327" w:hanging="785"/>
        <w:rPr>
          <w:rFonts w:cs="Times New Roman"/>
          <w:szCs w:val="24"/>
        </w:rPr>
      </w:pPr>
      <w:proofErr w:type="spellStart"/>
      <w:r w:rsidRPr="00405D7C">
        <w:rPr>
          <w:rFonts w:cs="Times New Roman"/>
          <w:szCs w:val="24"/>
        </w:rPr>
        <w:t>Seongwei</w:t>
      </w:r>
      <w:proofErr w:type="spellEnd"/>
      <w:r w:rsidRPr="00405D7C">
        <w:rPr>
          <w:rFonts w:cs="Times New Roman"/>
          <w:szCs w:val="24"/>
        </w:rPr>
        <w:t xml:space="preserve"> L, </w:t>
      </w:r>
      <w:proofErr w:type="spellStart"/>
      <w:r w:rsidRPr="00405D7C">
        <w:rPr>
          <w:rFonts w:cs="Times New Roman"/>
          <w:szCs w:val="24"/>
        </w:rPr>
        <w:t>Najiah</w:t>
      </w:r>
      <w:proofErr w:type="spellEnd"/>
      <w:r w:rsidRPr="00405D7C">
        <w:rPr>
          <w:rFonts w:cs="Times New Roman"/>
          <w:szCs w:val="24"/>
        </w:rPr>
        <w:t xml:space="preserve"> M, Wendy W, </w:t>
      </w:r>
      <w:proofErr w:type="spellStart"/>
      <w:r w:rsidRPr="00405D7C">
        <w:rPr>
          <w:rFonts w:cs="Times New Roman"/>
          <w:szCs w:val="24"/>
        </w:rPr>
        <w:t>Nadirah</w:t>
      </w:r>
      <w:proofErr w:type="spellEnd"/>
      <w:r w:rsidRPr="00405D7C">
        <w:rPr>
          <w:rFonts w:cs="Times New Roman"/>
          <w:szCs w:val="24"/>
        </w:rPr>
        <w:t xml:space="preserve"> M. 2009. Chemical composition and anti-microbial activity of the essential oil </w:t>
      </w:r>
      <w:proofErr w:type="spellStart"/>
      <w:r w:rsidRPr="00405D7C">
        <w:rPr>
          <w:rFonts w:cs="Times New Roman"/>
          <w:i/>
          <w:szCs w:val="24"/>
        </w:rPr>
        <w:t>Syzyglum</w:t>
      </w:r>
      <w:proofErr w:type="spellEnd"/>
      <w:r w:rsidRPr="00405D7C">
        <w:rPr>
          <w:rFonts w:cs="Times New Roman"/>
          <w:i/>
          <w:szCs w:val="24"/>
        </w:rPr>
        <w:t xml:space="preserve"> </w:t>
      </w:r>
      <w:proofErr w:type="spellStart"/>
      <w:r w:rsidRPr="00405D7C">
        <w:rPr>
          <w:rFonts w:cs="Times New Roman"/>
          <w:i/>
          <w:szCs w:val="24"/>
        </w:rPr>
        <w:t>aromaticum</w:t>
      </w:r>
      <w:proofErr w:type="spellEnd"/>
      <w:r w:rsidRPr="00405D7C">
        <w:rPr>
          <w:rFonts w:cs="Times New Roman"/>
          <w:szCs w:val="24"/>
        </w:rPr>
        <w:t xml:space="preserve"> flower bud (Clove) against fish systemic bacteria isolated from aquaculture sites. Front </w:t>
      </w:r>
      <w:proofErr w:type="spellStart"/>
      <w:r w:rsidRPr="00405D7C">
        <w:rPr>
          <w:rFonts w:cs="Times New Roman"/>
          <w:szCs w:val="24"/>
        </w:rPr>
        <w:t>Agric</w:t>
      </w:r>
      <w:proofErr w:type="spellEnd"/>
      <w:r w:rsidRPr="00405D7C">
        <w:rPr>
          <w:rFonts w:cs="Times New Roman"/>
          <w:szCs w:val="24"/>
        </w:rPr>
        <w:t xml:space="preserve"> China. 3(3): 332–336. Available from: </w:t>
      </w:r>
      <w:hyperlink r:id="rId50" w:history="1">
        <w:r w:rsidRPr="00405D7C">
          <w:rPr>
            <w:rStyle w:val="Hyperlink"/>
            <w:rFonts w:cs="Times New Roman"/>
            <w:color w:val="auto"/>
            <w:szCs w:val="24"/>
            <w:u w:val="none"/>
            <w:shd w:val="clear" w:color="auto" w:fill="FCFCFC"/>
          </w:rPr>
          <w:t>https://doi.org/10.1007/s11703-009-0052-8</w:t>
        </w:r>
      </w:hyperlink>
    </w:p>
    <w:p w:rsidR="009F6756" w:rsidRPr="00405D7C" w:rsidRDefault="009F6756" w:rsidP="009F6756">
      <w:pPr>
        <w:suppressLineNumbers/>
        <w:spacing w:after="0" w:line="240" w:lineRule="auto"/>
        <w:ind w:left="785" w:hangingChars="327" w:hanging="785"/>
        <w:rPr>
          <w:rFonts w:cs="Times New Roman"/>
          <w:szCs w:val="24"/>
        </w:rPr>
      </w:pPr>
      <w:proofErr w:type="spellStart"/>
      <w:r w:rsidRPr="00405D7C">
        <w:rPr>
          <w:rFonts w:cs="Times New Roman"/>
          <w:szCs w:val="24"/>
        </w:rPr>
        <w:lastRenderedPageBreak/>
        <w:t>Sethiya</w:t>
      </w:r>
      <w:proofErr w:type="spellEnd"/>
      <w:r w:rsidRPr="00405D7C">
        <w:rPr>
          <w:rFonts w:cs="Times New Roman"/>
          <w:szCs w:val="24"/>
        </w:rPr>
        <w:t xml:space="preserve"> NK. 2016. Review on Natural Growth Promoters Available for Improving Gut Health of Poultry: An Alternative to Antibiotic Growth Promoters. Asian J Poultry Sci. 10(1): 1-29. Available from: https://doi.org/</w:t>
      </w:r>
      <w:hyperlink r:id="rId51" w:tgtFrame="_blank" w:history="1">
        <w:r w:rsidRPr="00405D7C">
          <w:rPr>
            <w:rStyle w:val="Hyperlink"/>
            <w:rFonts w:cs="Times New Roman"/>
            <w:color w:val="auto"/>
            <w:szCs w:val="24"/>
            <w:u w:val="none"/>
          </w:rPr>
          <w:t>10.3923/ajpsaj.2016.1.29</w:t>
        </w:r>
      </w:hyperlink>
    </w:p>
    <w:p w:rsidR="004A22BC" w:rsidRPr="00405D7C" w:rsidRDefault="009F6756" w:rsidP="004A22BC">
      <w:pPr>
        <w:suppressLineNumbers/>
        <w:spacing w:after="0" w:line="240" w:lineRule="auto"/>
        <w:ind w:left="785" w:hangingChars="327" w:hanging="785"/>
        <w:rPr>
          <w:rFonts w:cs="Times New Roman"/>
          <w:szCs w:val="24"/>
        </w:rPr>
      </w:pPr>
      <w:proofErr w:type="spellStart"/>
      <w:r w:rsidRPr="00405D7C">
        <w:rPr>
          <w:rFonts w:cs="Times New Roman"/>
          <w:szCs w:val="24"/>
        </w:rPr>
        <w:t>Sethiya</w:t>
      </w:r>
      <w:proofErr w:type="spellEnd"/>
      <w:r w:rsidRPr="00405D7C">
        <w:rPr>
          <w:rFonts w:cs="Times New Roman"/>
          <w:szCs w:val="24"/>
        </w:rPr>
        <w:t xml:space="preserve"> NK, Raja MMM, Mishra SH. 2013. Antioxidant markers based TLC-DPPH differentiation on four commercialized botanical sources of </w:t>
      </w:r>
      <w:proofErr w:type="spellStart"/>
      <w:r w:rsidRPr="00405D7C">
        <w:rPr>
          <w:rFonts w:cs="Times New Roman"/>
          <w:i/>
          <w:szCs w:val="24"/>
        </w:rPr>
        <w:t>Shankhpushpi</w:t>
      </w:r>
      <w:proofErr w:type="spellEnd"/>
      <w:r w:rsidR="004A22BC" w:rsidRPr="00405D7C">
        <w:rPr>
          <w:rFonts w:cs="Times New Roman"/>
          <w:szCs w:val="24"/>
        </w:rPr>
        <w:t xml:space="preserve"> (A </w:t>
      </w:r>
      <w:proofErr w:type="spellStart"/>
      <w:r w:rsidR="004A22BC" w:rsidRPr="00405D7C">
        <w:rPr>
          <w:rFonts w:cs="Times New Roman"/>
          <w:szCs w:val="24"/>
        </w:rPr>
        <w:t>Medhya</w:t>
      </w:r>
      <w:proofErr w:type="spellEnd"/>
      <w:r w:rsidR="004A22BC" w:rsidRPr="00405D7C">
        <w:rPr>
          <w:rFonts w:cs="Times New Roman"/>
          <w:szCs w:val="24"/>
        </w:rPr>
        <w:t xml:space="preserve"> </w:t>
      </w:r>
      <w:proofErr w:type="spellStart"/>
      <w:r w:rsidR="004A22BC" w:rsidRPr="00405D7C">
        <w:rPr>
          <w:rFonts w:cs="Times New Roman"/>
          <w:szCs w:val="24"/>
        </w:rPr>
        <w:t>Rasayana</w:t>
      </w:r>
      <w:proofErr w:type="spellEnd"/>
      <w:r w:rsidR="004A22BC" w:rsidRPr="00405D7C">
        <w:rPr>
          <w:rFonts w:cs="Times New Roman"/>
          <w:szCs w:val="24"/>
        </w:rPr>
        <w:t>): A</w:t>
      </w:r>
      <w:r w:rsidRPr="00405D7C">
        <w:rPr>
          <w:rFonts w:cs="Times New Roman"/>
          <w:szCs w:val="24"/>
        </w:rPr>
        <w:t xml:space="preserve"> preliminary assessment. J </w:t>
      </w:r>
      <w:proofErr w:type="spellStart"/>
      <w:r w:rsidRPr="00405D7C">
        <w:rPr>
          <w:rFonts w:cs="Times New Roman"/>
          <w:szCs w:val="24"/>
        </w:rPr>
        <w:t>Adv</w:t>
      </w:r>
      <w:proofErr w:type="spellEnd"/>
      <w:r w:rsidRPr="00405D7C">
        <w:rPr>
          <w:rFonts w:cs="Times New Roman"/>
          <w:szCs w:val="24"/>
        </w:rPr>
        <w:t xml:space="preserve"> Pharm </w:t>
      </w:r>
      <w:proofErr w:type="spellStart"/>
      <w:r w:rsidRPr="00405D7C">
        <w:rPr>
          <w:rFonts w:cs="Times New Roman"/>
          <w:szCs w:val="24"/>
        </w:rPr>
        <w:t>Technol</w:t>
      </w:r>
      <w:proofErr w:type="spellEnd"/>
      <w:r w:rsidRPr="00405D7C">
        <w:rPr>
          <w:rFonts w:cs="Times New Roman"/>
          <w:szCs w:val="24"/>
        </w:rPr>
        <w:t xml:space="preserve"> Res 4</w:t>
      </w:r>
      <w:r w:rsidR="00E52CF9" w:rsidRPr="00405D7C">
        <w:rPr>
          <w:rFonts w:cs="Times New Roman"/>
          <w:szCs w:val="24"/>
        </w:rPr>
        <w:t>(1)</w:t>
      </w:r>
      <w:r w:rsidRPr="00405D7C">
        <w:rPr>
          <w:rFonts w:cs="Times New Roman"/>
          <w:szCs w:val="24"/>
        </w:rPr>
        <w:t>: 25-30.</w:t>
      </w:r>
      <w:r w:rsidR="004A22BC" w:rsidRPr="00405D7C">
        <w:rPr>
          <w:rFonts w:cs="Times New Roman"/>
          <w:szCs w:val="24"/>
        </w:rPr>
        <w:t xml:space="preserve"> Available from: https://doi.org/10.4103/2231-4040.107497</w:t>
      </w:r>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Shadakshari</w:t>
      </w:r>
      <w:proofErr w:type="spellEnd"/>
      <w:r w:rsidRPr="00405D7C">
        <w:rPr>
          <w:rFonts w:cs="Times New Roman"/>
          <w:szCs w:val="24"/>
        </w:rPr>
        <w:t xml:space="preserve"> GS. 1993. Effect of </w:t>
      </w:r>
      <w:proofErr w:type="spellStart"/>
      <w:r w:rsidRPr="00405D7C">
        <w:rPr>
          <w:rFonts w:cs="Times New Roman"/>
          <w:szCs w:val="24"/>
        </w:rPr>
        <w:t>bioboost</w:t>
      </w:r>
      <w:proofErr w:type="spellEnd"/>
      <w:r w:rsidRPr="00405D7C">
        <w:rPr>
          <w:rFonts w:cs="Times New Roman"/>
          <w:szCs w:val="24"/>
        </w:rPr>
        <w:t xml:space="preserve"> forte, </w:t>
      </w:r>
      <w:proofErr w:type="spellStart"/>
      <w:r w:rsidRPr="00405D7C">
        <w:rPr>
          <w:rFonts w:cs="Times New Roman"/>
          <w:szCs w:val="24"/>
        </w:rPr>
        <w:t>Livol</w:t>
      </w:r>
      <w:proofErr w:type="spellEnd"/>
      <w:r w:rsidRPr="00405D7C">
        <w:rPr>
          <w:rFonts w:cs="Times New Roman"/>
          <w:szCs w:val="24"/>
        </w:rPr>
        <w:t xml:space="preserve"> and </w:t>
      </w:r>
      <w:proofErr w:type="spellStart"/>
      <w:r w:rsidRPr="00405D7C">
        <w:rPr>
          <w:rFonts w:cs="Times New Roman"/>
          <w:szCs w:val="24"/>
        </w:rPr>
        <w:t>Amchemin</w:t>
      </w:r>
      <w:proofErr w:type="spellEnd"/>
      <w:r w:rsidRPr="00405D7C">
        <w:rPr>
          <w:rFonts w:cs="Times New Roman"/>
          <w:szCs w:val="24"/>
        </w:rPr>
        <w:t xml:space="preserve"> AQ on growth and body composition of common carp, </w:t>
      </w:r>
      <w:proofErr w:type="spellStart"/>
      <w:r w:rsidRPr="00405D7C">
        <w:rPr>
          <w:rFonts w:cs="Times New Roman"/>
          <w:i/>
          <w:szCs w:val="24"/>
        </w:rPr>
        <w:t>Cyprinus</w:t>
      </w:r>
      <w:proofErr w:type="spellEnd"/>
      <w:r w:rsidRPr="00405D7C">
        <w:rPr>
          <w:rFonts w:cs="Times New Roman"/>
          <w:i/>
          <w:szCs w:val="24"/>
        </w:rPr>
        <w:t xml:space="preserve"> </w:t>
      </w:r>
      <w:proofErr w:type="spellStart"/>
      <w:r w:rsidRPr="00405D7C">
        <w:rPr>
          <w:rFonts w:cs="Times New Roman"/>
          <w:i/>
          <w:szCs w:val="24"/>
        </w:rPr>
        <w:t>carpio</w:t>
      </w:r>
      <w:proofErr w:type="spellEnd"/>
      <w:r w:rsidRPr="00405D7C">
        <w:rPr>
          <w:rFonts w:cs="Times New Roman"/>
          <w:szCs w:val="24"/>
        </w:rPr>
        <w:t xml:space="preserve"> (Linn.). </w:t>
      </w:r>
      <w:proofErr w:type="spellStart"/>
      <w:r w:rsidRPr="00405D7C">
        <w:rPr>
          <w:rFonts w:cs="Times New Roman"/>
          <w:szCs w:val="24"/>
        </w:rPr>
        <w:t>M.F.Sc</w:t>
      </w:r>
      <w:proofErr w:type="spellEnd"/>
      <w:r w:rsidRPr="00405D7C">
        <w:rPr>
          <w:rFonts w:cs="Times New Roman"/>
          <w:szCs w:val="24"/>
        </w:rPr>
        <w:t>. Thesis, University of Agriculture Sciences, Bangalore, p 155.</w:t>
      </w:r>
    </w:p>
    <w:p w:rsidR="004A22BC" w:rsidRPr="00405D7C" w:rsidRDefault="009F6756" w:rsidP="004A22BC">
      <w:pPr>
        <w:suppressLineNumbers/>
        <w:spacing w:after="0" w:line="240" w:lineRule="auto"/>
        <w:ind w:left="785" w:hangingChars="327" w:hanging="785"/>
        <w:rPr>
          <w:rFonts w:cs="Times New Roman"/>
          <w:szCs w:val="24"/>
        </w:rPr>
      </w:pPr>
      <w:r w:rsidRPr="00405D7C">
        <w:rPr>
          <w:rFonts w:cs="Times New Roman"/>
          <w:szCs w:val="24"/>
        </w:rPr>
        <w:t xml:space="preserve">Silva FCDP, </w:t>
      </w:r>
      <w:proofErr w:type="spellStart"/>
      <w:r w:rsidRPr="00405D7C">
        <w:rPr>
          <w:rFonts w:cs="Times New Roman"/>
          <w:szCs w:val="24"/>
        </w:rPr>
        <w:t>Nicoli</w:t>
      </w:r>
      <w:proofErr w:type="spellEnd"/>
      <w:r w:rsidRPr="00405D7C">
        <w:rPr>
          <w:rFonts w:cs="Times New Roman"/>
          <w:szCs w:val="24"/>
        </w:rPr>
        <w:t xml:space="preserve"> JR, </w:t>
      </w:r>
      <w:proofErr w:type="spellStart"/>
      <w:r w:rsidRPr="00405D7C">
        <w:rPr>
          <w:rFonts w:cs="Times New Roman"/>
          <w:szCs w:val="24"/>
        </w:rPr>
        <w:t>Zambonino-Infante</w:t>
      </w:r>
      <w:proofErr w:type="spellEnd"/>
      <w:r w:rsidRPr="00405D7C">
        <w:rPr>
          <w:rFonts w:cs="Times New Roman"/>
          <w:szCs w:val="24"/>
        </w:rPr>
        <w:t xml:space="preserve"> JL, Kaushik S, </w:t>
      </w:r>
      <w:proofErr w:type="spellStart"/>
      <w:r w:rsidRPr="00405D7C">
        <w:rPr>
          <w:rFonts w:cs="Times New Roman"/>
          <w:szCs w:val="24"/>
        </w:rPr>
        <w:t>Gatesoupe</w:t>
      </w:r>
      <w:proofErr w:type="spellEnd"/>
      <w:r w:rsidRPr="00405D7C">
        <w:rPr>
          <w:rFonts w:cs="Times New Roman"/>
          <w:szCs w:val="24"/>
        </w:rPr>
        <w:t xml:space="preserve"> F-J. 2011. Influence of the diet on the microbial diversity of </w:t>
      </w:r>
      <w:proofErr w:type="spellStart"/>
      <w:r w:rsidRPr="00405D7C">
        <w:rPr>
          <w:rFonts w:cs="Times New Roman"/>
          <w:szCs w:val="24"/>
        </w:rPr>
        <w:t>faecal</w:t>
      </w:r>
      <w:proofErr w:type="spellEnd"/>
      <w:r w:rsidRPr="00405D7C">
        <w:rPr>
          <w:rFonts w:cs="Times New Roman"/>
          <w:szCs w:val="24"/>
        </w:rPr>
        <w:t xml:space="preserve"> and gastrointestinal contents in gilthead sea bream (</w:t>
      </w:r>
      <w:proofErr w:type="spellStart"/>
      <w:r w:rsidRPr="00405D7C">
        <w:rPr>
          <w:rFonts w:cs="Times New Roman"/>
          <w:i/>
          <w:szCs w:val="24"/>
        </w:rPr>
        <w:t>Sparus</w:t>
      </w:r>
      <w:proofErr w:type="spellEnd"/>
      <w:r w:rsidRPr="00405D7C">
        <w:rPr>
          <w:rFonts w:cs="Times New Roman"/>
          <w:i/>
          <w:szCs w:val="24"/>
        </w:rPr>
        <w:t xml:space="preserve"> </w:t>
      </w:r>
      <w:proofErr w:type="spellStart"/>
      <w:r w:rsidRPr="00405D7C">
        <w:rPr>
          <w:rFonts w:cs="Times New Roman"/>
          <w:i/>
          <w:szCs w:val="24"/>
        </w:rPr>
        <w:t>aurata</w:t>
      </w:r>
      <w:proofErr w:type="spellEnd"/>
      <w:r w:rsidRPr="00405D7C">
        <w:rPr>
          <w:rFonts w:cs="Times New Roman"/>
          <w:szCs w:val="24"/>
        </w:rPr>
        <w:t>) and intestinal contents in goldfish (</w:t>
      </w:r>
      <w:proofErr w:type="spellStart"/>
      <w:r w:rsidRPr="00405D7C">
        <w:rPr>
          <w:rFonts w:cs="Times New Roman"/>
          <w:i/>
          <w:szCs w:val="24"/>
        </w:rPr>
        <w:t>Carassius</w:t>
      </w:r>
      <w:proofErr w:type="spellEnd"/>
      <w:r w:rsidRPr="00405D7C">
        <w:rPr>
          <w:rFonts w:cs="Times New Roman"/>
          <w:i/>
          <w:szCs w:val="24"/>
        </w:rPr>
        <w:t xml:space="preserve"> </w:t>
      </w:r>
      <w:proofErr w:type="spellStart"/>
      <w:r w:rsidRPr="00405D7C">
        <w:rPr>
          <w:rFonts w:cs="Times New Roman"/>
          <w:i/>
          <w:szCs w:val="24"/>
        </w:rPr>
        <w:t>auratus</w:t>
      </w:r>
      <w:proofErr w:type="spellEnd"/>
      <w:r w:rsidRPr="00405D7C">
        <w:rPr>
          <w:rFonts w:cs="Times New Roman"/>
          <w:szCs w:val="24"/>
        </w:rPr>
        <w:t xml:space="preserve">). FEMS </w:t>
      </w:r>
      <w:proofErr w:type="spellStart"/>
      <w:r w:rsidRPr="00405D7C">
        <w:rPr>
          <w:rFonts w:cs="Times New Roman"/>
          <w:szCs w:val="24"/>
        </w:rPr>
        <w:t>Microbiol</w:t>
      </w:r>
      <w:proofErr w:type="spellEnd"/>
      <w:r w:rsidRPr="00405D7C">
        <w:rPr>
          <w:rFonts w:cs="Times New Roman"/>
          <w:szCs w:val="24"/>
        </w:rPr>
        <w:t xml:space="preserve"> Ecol</w:t>
      </w:r>
      <w:r w:rsidR="004A22BC" w:rsidRPr="00405D7C">
        <w:rPr>
          <w:rFonts w:cs="Times New Roman"/>
          <w:szCs w:val="24"/>
        </w:rPr>
        <w:t>.</w:t>
      </w:r>
      <w:r w:rsidRPr="00405D7C">
        <w:rPr>
          <w:rFonts w:cs="Times New Roman"/>
          <w:szCs w:val="24"/>
        </w:rPr>
        <w:t xml:space="preserve"> 78</w:t>
      </w:r>
      <w:r w:rsidR="004A22BC" w:rsidRPr="00405D7C">
        <w:rPr>
          <w:rFonts w:cs="Times New Roman"/>
          <w:szCs w:val="24"/>
        </w:rPr>
        <w:t>(2)</w:t>
      </w:r>
      <w:r w:rsidRPr="00405D7C">
        <w:rPr>
          <w:rFonts w:cs="Times New Roman"/>
          <w:szCs w:val="24"/>
        </w:rPr>
        <w:t>: 285–296.</w:t>
      </w:r>
      <w:r w:rsidR="004A22BC" w:rsidRPr="00405D7C">
        <w:rPr>
          <w:rFonts w:cs="Times New Roman"/>
          <w:szCs w:val="24"/>
        </w:rPr>
        <w:t xml:space="preserve"> Available from: </w:t>
      </w:r>
      <w:hyperlink r:id="rId52" w:history="1">
        <w:r w:rsidR="004A22BC" w:rsidRPr="00405D7C">
          <w:rPr>
            <w:rStyle w:val="Hyperlink"/>
            <w:rFonts w:cs="Times New Roman"/>
            <w:color w:val="auto"/>
            <w:szCs w:val="24"/>
            <w:u w:val="none"/>
            <w:bdr w:val="none" w:sz="0" w:space="0" w:color="auto" w:frame="1"/>
            <w:shd w:val="clear" w:color="auto" w:fill="FFFFFF"/>
          </w:rPr>
          <w:t>https://doi.org/10.1111/j.1574-6941.2011.01155.x</w:t>
        </w:r>
      </w:hyperlink>
    </w:p>
    <w:p w:rsidR="003E0E66" w:rsidRPr="00405D7C" w:rsidRDefault="009F6756" w:rsidP="003E0E66">
      <w:pPr>
        <w:suppressLineNumbers/>
        <w:spacing w:after="0" w:line="240" w:lineRule="auto"/>
        <w:ind w:left="785" w:hangingChars="327" w:hanging="785"/>
        <w:rPr>
          <w:rFonts w:cs="Times New Roman"/>
          <w:szCs w:val="24"/>
        </w:rPr>
      </w:pPr>
      <w:r w:rsidRPr="00405D7C">
        <w:rPr>
          <w:rFonts w:cs="Times New Roman"/>
          <w:szCs w:val="24"/>
        </w:rPr>
        <w:t xml:space="preserve">Smith-Palmer A, Stewart J, Fyfe L. 1998. Antimicrobial properties of plant essential oils and essences against five important food-borne pathogens. Lett </w:t>
      </w:r>
      <w:proofErr w:type="spellStart"/>
      <w:r w:rsidRPr="00405D7C">
        <w:rPr>
          <w:rFonts w:cs="Times New Roman"/>
          <w:szCs w:val="24"/>
        </w:rPr>
        <w:t>Appl</w:t>
      </w:r>
      <w:proofErr w:type="spellEnd"/>
      <w:r w:rsidRPr="00405D7C">
        <w:rPr>
          <w:rFonts w:cs="Times New Roman"/>
          <w:szCs w:val="24"/>
        </w:rPr>
        <w:t xml:space="preserve"> </w:t>
      </w:r>
      <w:proofErr w:type="spellStart"/>
      <w:r w:rsidRPr="00405D7C">
        <w:rPr>
          <w:rFonts w:cs="Times New Roman"/>
          <w:szCs w:val="24"/>
        </w:rPr>
        <w:t>Microbiol</w:t>
      </w:r>
      <w:proofErr w:type="spellEnd"/>
      <w:r w:rsidRPr="00405D7C">
        <w:rPr>
          <w:rFonts w:cs="Times New Roman"/>
          <w:szCs w:val="24"/>
        </w:rPr>
        <w:t xml:space="preserve"> 26</w:t>
      </w:r>
      <w:r w:rsidR="003E0E66" w:rsidRPr="00405D7C">
        <w:rPr>
          <w:rFonts w:cs="Times New Roman"/>
          <w:szCs w:val="24"/>
        </w:rPr>
        <w:t>(2)</w:t>
      </w:r>
      <w:r w:rsidRPr="00405D7C">
        <w:rPr>
          <w:rFonts w:cs="Times New Roman"/>
          <w:szCs w:val="24"/>
        </w:rPr>
        <w:t>: 118–122.</w:t>
      </w:r>
      <w:r w:rsidR="003E0E66" w:rsidRPr="00405D7C">
        <w:rPr>
          <w:rFonts w:cs="Times New Roman"/>
          <w:szCs w:val="24"/>
        </w:rPr>
        <w:t xml:space="preserve"> Available from: </w:t>
      </w:r>
      <w:hyperlink r:id="rId53" w:history="1">
        <w:r w:rsidR="003E0E66" w:rsidRPr="00405D7C">
          <w:rPr>
            <w:rStyle w:val="Hyperlink"/>
            <w:rFonts w:cs="Times New Roman"/>
            <w:bCs/>
            <w:color w:val="auto"/>
            <w:szCs w:val="24"/>
            <w:u w:val="none"/>
            <w:shd w:val="clear" w:color="auto" w:fill="FFFFFF"/>
          </w:rPr>
          <w:t>https://doi.org/10.1046/j.1472-765X.1998.00303.x</w:t>
        </w:r>
      </w:hyperlink>
    </w:p>
    <w:p w:rsidR="003E0E66" w:rsidRPr="00405D7C" w:rsidRDefault="009F6756" w:rsidP="003E0E66">
      <w:pPr>
        <w:suppressLineNumbers/>
        <w:spacing w:after="0" w:line="240" w:lineRule="auto"/>
        <w:ind w:left="785" w:hangingChars="327" w:hanging="785"/>
        <w:rPr>
          <w:rFonts w:cs="Times New Roman"/>
          <w:szCs w:val="24"/>
        </w:rPr>
      </w:pPr>
      <w:proofErr w:type="spellStart"/>
      <w:r w:rsidRPr="00405D7C">
        <w:rPr>
          <w:rFonts w:cs="Times New Roman"/>
          <w:szCs w:val="24"/>
        </w:rPr>
        <w:t>Sommer</w:t>
      </w:r>
      <w:proofErr w:type="spellEnd"/>
      <w:r w:rsidRPr="00405D7C">
        <w:rPr>
          <w:rFonts w:cs="Times New Roman"/>
          <w:szCs w:val="24"/>
        </w:rPr>
        <w:t xml:space="preserve"> F, </w:t>
      </w:r>
      <w:proofErr w:type="spellStart"/>
      <w:r w:rsidRPr="00405D7C">
        <w:rPr>
          <w:rFonts w:cs="Times New Roman"/>
          <w:szCs w:val="24"/>
        </w:rPr>
        <w:t>Backhed</w:t>
      </w:r>
      <w:proofErr w:type="spellEnd"/>
      <w:r w:rsidRPr="00405D7C">
        <w:rPr>
          <w:rFonts w:cs="Times New Roman"/>
          <w:szCs w:val="24"/>
        </w:rPr>
        <w:t xml:space="preserve"> F, 2013. The gut microbiota - masters of host development and physiology. Nat Rev </w:t>
      </w:r>
      <w:proofErr w:type="spellStart"/>
      <w:r w:rsidRPr="00405D7C">
        <w:rPr>
          <w:rFonts w:cs="Times New Roman"/>
          <w:szCs w:val="24"/>
        </w:rPr>
        <w:t>Microbiol</w:t>
      </w:r>
      <w:proofErr w:type="spellEnd"/>
      <w:r w:rsidRPr="00405D7C">
        <w:rPr>
          <w:rFonts w:cs="Times New Roman"/>
          <w:szCs w:val="24"/>
        </w:rPr>
        <w:t xml:space="preserve"> 11: 227-238.</w:t>
      </w:r>
      <w:r w:rsidR="003E0E66" w:rsidRPr="00405D7C">
        <w:rPr>
          <w:rFonts w:cs="Times New Roman"/>
          <w:szCs w:val="24"/>
        </w:rPr>
        <w:t xml:space="preserve"> Available from: </w:t>
      </w:r>
      <w:hyperlink r:id="rId54" w:history="1">
        <w:r w:rsidR="003E0E66" w:rsidRPr="00405D7C">
          <w:rPr>
            <w:rStyle w:val="Hyperlink"/>
            <w:rFonts w:cs="Times New Roman"/>
            <w:color w:val="auto"/>
            <w:szCs w:val="24"/>
            <w:u w:val="none"/>
            <w:shd w:val="clear" w:color="auto" w:fill="FFFFFF"/>
          </w:rPr>
          <w:t>https://doi.org/10.1038/nrmicro2974</w:t>
        </w:r>
      </w:hyperlink>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t>Steiner T, Syed B. 2015. Phytogenic feed additives in animal nutrition. In</w:t>
      </w:r>
      <w:r w:rsidR="00AC2B03" w:rsidRPr="00405D7C">
        <w:rPr>
          <w:rFonts w:cs="Times New Roman"/>
          <w:szCs w:val="24"/>
        </w:rPr>
        <w:t>:</w:t>
      </w:r>
      <w:r w:rsidRPr="00405D7C">
        <w:rPr>
          <w:rFonts w:cs="Times New Roman"/>
          <w:szCs w:val="24"/>
        </w:rPr>
        <w:t xml:space="preserve"> Medicinal and Aromatic Plants of the World Scientific Production, Commercial</w:t>
      </w:r>
      <w:r w:rsidR="00AC2B03" w:rsidRPr="00405D7C">
        <w:rPr>
          <w:rFonts w:cs="Times New Roman"/>
          <w:szCs w:val="24"/>
        </w:rPr>
        <w:t xml:space="preserve"> and Utilization Aspects. </w:t>
      </w:r>
      <w:proofErr w:type="spellStart"/>
      <w:r w:rsidR="00AC2B03" w:rsidRPr="00405D7C">
        <w:rPr>
          <w:rFonts w:cs="Times New Roman"/>
          <w:szCs w:val="24"/>
        </w:rPr>
        <w:t>Máthé</w:t>
      </w:r>
      <w:proofErr w:type="spellEnd"/>
      <w:r w:rsidR="00AC2B03" w:rsidRPr="00405D7C">
        <w:rPr>
          <w:rFonts w:cs="Times New Roman"/>
          <w:szCs w:val="24"/>
        </w:rPr>
        <w:t xml:space="preserve"> Á, editors.</w:t>
      </w:r>
      <w:r w:rsidRPr="00405D7C">
        <w:rPr>
          <w:rFonts w:cs="Times New Roman"/>
          <w:szCs w:val="24"/>
        </w:rPr>
        <w:t xml:space="preserve"> Springer: Dordrecht, Germany. pp 403-423.</w:t>
      </w:r>
    </w:p>
    <w:p w:rsidR="00AC2B03" w:rsidRPr="00405D7C" w:rsidRDefault="009F6756" w:rsidP="00AC2B03">
      <w:pPr>
        <w:suppressLineNumbers/>
        <w:spacing w:after="0" w:line="240" w:lineRule="auto"/>
        <w:ind w:left="785" w:hangingChars="327" w:hanging="785"/>
        <w:rPr>
          <w:rFonts w:cs="Times New Roman"/>
          <w:szCs w:val="24"/>
        </w:rPr>
      </w:pPr>
      <w:proofErr w:type="spellStart"/>
      <w:r w:rsidRPr="00405D7C">
        <w:rPr>
          <w:rFonts w:cs="Times New Roman"/>
          <w:szCs w:val="24"/>
        </w:rPr>
        <w:t>Sutili</w:t>
      </w:r>
      <w:proofErr w:type="spellEnd"/>
      <w:r w:rsidRPr="00405D7C">
        <w:rPr>
          <w:rFonts w:cs="Times New Roman"/>
          <w:szCs w:val="24"/>
        </w:rPr>
        <w:t xml:space="preserve"> FJ, Gatlin III DM, </w:t>
      </w:r>
      <w:proofErr w:type="spellStart"/>
      <w:r w:rsidRPr="00405D7C">
        <w:rPr>
          <w:rFonts w:cs="Times New Roman"/>
          <w:szCs w:val="24"/>
        </w:rPr>
        <w:t>Heinzmann</w:t>
      </w:r>
      <w:proofErr w:type="spellEnd"/>
      <w:r w:rsidRPr="00405D7C">
        <w:rPr>
          <w:rFonts w:cs="Times New Roman"/>
          <w:szCs w:val="24"/>
        </w:rPr>
        <w:t xml:space="preserve"> BM, </w:t>
      </w:r>
      <w:proofErr w:type="spellStart"/>
      <w:r w:rsidRPr="00405D7C">
        <w:rPr>
          <w:rFonts w:cs="Times New Roman"/>
          <w:szCs w:val="24"/>
        </w:rPr>
        <w:t>Baldisserotto</w:t>
      </w:r>
      <w:proofErr w:type="spellEnd"/>
      <w:r w:rsidRPr="00405D7C">
        <w:rPr>
          <w:rFonts w:cs="Times New Roman"/>
          <w:szCs w:val="24"/>
        </w:rPr>
        <w:t xml:space="preserve"> B. 2018. Plant essential oils as fish diet additives: benefits on fish health and stability in feed. Rev </w:t>
      </w:r>
      <w:proofErr w:type="spellStart"/>
      <w:r w:rsidRPr="00405D7C">
        <w:rPr>
          <w:rFonts w:cs="Times New Roman"/>
          <w:szCs w:val="24"/>
        </w:rPr>
        <w:t>Aquacult</w:t>
      </w:r>
      <w:proofErr w:type="spellEnd"/>
      <w:r w:rsidR="00AC2B03" w:rsidRPr="00405D7C">
        <w:rPr>
          <w:rFonts w:cs="Times New Roman"/>
          <w:szCs w:val="24"/>
        </w:rPr>
        <w:t>.</w:t>
      </w:r>
      <w:r w:rsidRPr="00405D7C">
        <w:rPr>
          <w:rFonts w:cs="Times New Roman"/>
          <w:szCs w:val="24"/>
        </w:rPr>
        <w:t xml:space="preserve"> 10</w:t>
      </w:r>
      <w:r w:rsidR="00AC2B03" w:rsidRPr="00405D7C">
        <w:rPr>
          <w:rFonts w:cs="Times New Roman"/>
          <w:szCs w:val="24"/>
        </w:rPr>
        <w:t>(3)</w:t>
      </w:r>
      <w:r w:rsidRPr="00405D7C">
        <w:rPr>
          <w:rFonts w:cs="Times New Roman"/>
          <w:szCs w:val="24"/>
        </w:rPr>
        <w:t>: 716-726.</w:t>
      </w:r>
      <w:r w:rsidR="00AC2B03" w:rsidRPr="00405D7C">
        <w:rPr>
          <w:rFonts w:cs="Times New Roman"/>
          <w:szCs w:val="24"/>
        </w:rPr>
        <w:t xml:space="preserve"> Available from: </w:t>
      </w:r>
      <w:hyperlink r:id="rId55" w:history="1">
        <w:r w:rsidR="00AC2B03" w:rsidRPr="00405D7C">
          <w:rPr>
            <w:rStyle w:val="Hyperlink"/>
            <w:rFonts w:cs="Times New Roman"/>
            <w:bCs/>
            <w:color w:val="auto"/>
            <w:szCs w:val="24"/>
            <w:u w:val="none"/>
            <w:shd w:val="clear" w:color="auto" w:fill="FFFFFF"/>
          </w:rPr>
          <w:t>https://doi.org/10.1111/raq.12197</w:t>
        </w:r>
      </w:hyperlink>
    </w:p>
    <w:p w:rsidR="00AC2B03" w:rsidRPr="00405D7C" w:rsidRDefault="009F6756" w:rsidP="00AC2B03">
      <w:pPr>
        <w:suppressLineNumbers/>
        <w:spacing w:after="0" w:line="240" w:lineRule="auto"/>
        <w:ind w:left="785" w:hangingChars="327" w:hanging="785"/>
        <w:rPr>
          <w:rFonts w:cs="Times New Roman"/>
          <w:szCs w:val="24"/>
        </w:rPr>
      </w:pPr>
      <w:proofErr w:type="spellStart"/>
      <w:r w:rsidRPr="00405D7C">
        <w:rPr>
          <w:rFonts w:cs="Times New Roman"/>
          <w:szCs w:val="24"/>
        </w:rPr>
        <w:t>Sutili</w:t>
      </w:r>
      <w:proofErr w:type="spellEnd"/>
      <w:r w:rsidRPr="00405D7C">
        <w:rPr>
          <w:rFonts w:cs="Times New Roman"/>
          <w:szCs w:val="24"/>
        </w:rPr>
        <w:t xml:space="preserve"> FJ, Velasquez A, </w:t>
      </w:r>
      <w:proofErr w:type="spellStart"/>
      <w:r w:rsidRPr="00405D7C">
        <w:rPr>
          <w:rFonts w:cs="Times New Roman"/>
          <w:szCs w:val="24"/>
        </w:rPr>
        <w:t>Pinheiro</w:t>
      </w:r>
      <w:proofErr w:type="spellEnd"/>
      <w:r w:rsidRPr="00405D7C">
        <w:rPr>
          <w:rFonts w:cs="Times New Roman"/>
          <w:szCs w:val="24"/>
        </w:rPr>
        <w:t xml:space="preserve"> CG, </w:t>
      </w:r>
      <w:proofErr w:type="spellStart"/>
      <w:r w:rsidRPr="00405D7C">
        <w:rPr>
          <w:rFonts w:cs="Times New Roman"/>
          <w:szCs w:val="24"/>
        </w:rPr>
        <w:t>Heinzmann</w:t>
      </w:r>
      <w:proofErr w:type="spellEnd"/>
      <w:r w:rsidRPr="00405D7C">
        <w:rPr>
          <w:rFonts w:cs="Times New Roman"/>
          <w:szCs w:val="24"/>
        </w:rPr>
        <w:t xml:space="preserve"> BM, </w:t>
      </w:r>
      <w:proofErr w:type="spellStart"/>
      <w:r w:rsidRPr="00405D7C">
        <w:rPr>
          <w:rFonts w:cs="Times New Roman"/>
          <w:szCs w:val="24"/>
        </w:rPr>
        <w:t>Baldisserotto</w:t>
      </w:r>
      <w:proofErr w:type="spellEnd"/>
      <w:r w:rsidRPr="00405D7C">
        <w:rPr>
          <w:rFonts w:cs="Times New Roman"/>
          <w:szCs w:val="24"/>
        </w:rPr>
        <w:t xml:space="preserve"> B, Gatlin DM III. 2016. Evaluation of </w:t>
      </w:r>
      <w:proofErr w:type="spellStart"/>
      <w:r w:rsidRPr="00405D7C">
        <w:rPr>
          <w:rFonts w:cs="Times New Roman"/>
          <w:i/>
          <w:szCs w:val="24"/>
        </w:rPr>
        <w:t>Ocimum</w:t>
      </w:r>
      <w:proofErr w:type="spellEnd"/>
      <w:r w:rsidRPr="00405D7C">
        <w:rPr>
          <w:rFonts w:cs="Times New Roman"/>
          <w:i/>
          <w:szCs w:val="24"/>
        </w:rPr>
        <w:t xml:space="preserve"> </w:t>
      </w:r>
      <w:proofErr w:type="spellStart"/>
      <w:r w:rsidRPr="00405D7C">
        <w:rPr>
          <w:rFonts w:cs="Times New Roman"/>
          <w:i/>
          <w:szCs w:val="24"/>
        </w:rPr>
        <w:t>americanum</w:t>
      </w:r>
      <w:proofErr w:type="spellEnd"/>
      <w:r w:rsidRPr="00405D7C">
        <w:rPr>
          <w:rFonts w:cs="Times New Roman"/>
          <w:szCs w:val="24"/>
        </w:rPr>
        <w:t xml:space="preserve"> essential oil as an additive in red drum (</w:t>
      </w:r>
      <w:proofErr w:type="spellStart"/>
      <w:r w:rsidRPr="00405D7C">
        <w:rPr>
          <w:rFonts w:cs="Times New Roman"/>
          <w:i/>
          <w:szCs w:val="24"/>
        </w:rPr>
        <w:t>Sciaenops</w:t>
      </w:r>
      <w:proofErr w:type="spellEnd"/>
      <w:r w:rsidRPr="00405D7C">
        <w:rPr>
          <w:rFonts w:cs="Times New Roman"/>
          <w:i/>
          <w:szCs w:val="24"/>
        </w:rPr>
        <w:t xml:space="preserve"> </w:t>
      </w:r>
      <w:proofErr w:type="spellStart"/>
      <w:r w:rsidRPr="00405D7C">
        <w:rPr>
          <w:rFonts w:cs="Times New Roman"/>
          <w:i/>
          <w:szCs w:val="24"/>
        </w:rPr>
        <w:t>ocellatus</w:t>
      </w:r>
      <w:proofErr w:type="spellEnd"/>
      <w:r w:rsidRPr="00405D7C">
        <w:rPr>
          <w:rFonts w:cs="Times New Roman"/>
          <w:szCs w:val="24"/>
        </w:rPr>
        <w:t xml:space="preserve">) diets. Fish Shellfish </w:t>
      </w:r>
      <w:proofErr w:type="spellStart"/>
      <w:r w:rsidRPr="00405D7C">
        <w:rPr>
          <w:rFonts w:cs="Times New Roman"/>
          <w:szCs w:val="24"/>
        </w:rPr>
        <w:t>Immunol</w:t>
      </w:r>
      <w:proofErr w:type="spellEnd"/>
      <w:r w:rsidR="00AC2B03" w:rsidRPr="00405D7C">
        <w:rPr>
          <w:rFonts w:cs="Times New Roman"/>
          <w:szCs w:val="24"/>
        </w:rPr>
        <w:t>.</w:t>
      </w:r>
      <w:r w:rsidRPr="00405D7C">
        <w:rPr>
          <w:rFonts w:cs="Times New Roman"/>
          <w:szCs w:val="24"/>
        </w:rPr>
        <w:t xml:space="preserve"> 56: 155–161.</w:t>
      </w:r>
      <w:r w:rsidR="00AC2B03" w:rsidRPr="00405D7C">
        <w:rPr>
          <w:rFonts w:cs="Times New Roman"/>
          <w:szCs w:val="24"/>
        </w:rPr>
        <w:t xml:space="preserve"> Available from:  </w:t>
      </w:r>
      <w:hyperlink r:id="rId56" w:tgtFrame="_blank" w:tooltip="Persistent link using digital object identifier" w:history="1">
        <w:r w:rsidR="00AC2B03" w:rsidRPr="00405D7C">
          <w:rPr>
            <w:rStyle w:val="Hyperlink"/>
            <w:rFonts w:cs="Times New Roman"/>
            <w:color w:val="auto"/>
            <w:szCs w:val="24"/>
            <w:u w:val="none"/>
          </w:rPr>
          <w:t>https://doi.org/10.1016/j.fsi.2016.07.008</w:t>
        </w:r>
      </w:hyperlink>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Talpur</w:t>
      </w:r>
      <w:proofErr w:type="spellEnd"/>
      <w:r w:rsidRPr="00405D7C">
        <w:rPr>
          <w:rFonts w:cs="Times New Roman"/>
          <w:szCs w:val="24"/>
        </w:rPr>
        <w:t xml:space="preserve"> AD, </w:t>
      </w:r>
      <w:proofErr w:type="spellStart"/>
      <w:r w:rsidRPr="00405D7C">
        <w:rPr>
          <w:rFonts w:cs="Times New Roman"/>
          <w:szCs w:val="24"/>
        </w:rPr>
        <w:t>Ikhwanuddin</w:t>
      </w:r>
      <w:proofErr w:type="spellEnd"/>
      <w:r w:rsidRPr="00405D7C">
        <w:rPr>
          <w:rFonts w:cs="Times New Roman"/>
          <w:szCs w:val="24"/>
        </w:rPr>
        <w:t xml:space="preserve"> M, </w:t>
      </w:r>
      <w:proofErr w:type="spellStart"/>
      <w:r w:rsidRPr="00405D7C">
        <w:rPr>
          <w:rFonts w:cs="Times New Roman"/>
          <w:szCs w:val="24"/>
        </w:rPr>
        <w:t>Ambok</w:t>
      </w:r>
      <w:proofErr w:type="spellEnd"/>
      <w:r w:rsidRPr="00405D7C">
        <w:rPr>
          <w:rFonts w:cs="Times New Roman"/>
          <w:szCs w:val="24"/>
        </w:rPr>
        <w:t xml:space="preserve"> </w:t>
      </w:r>
      <w:proofErr w:type="spellStart"/>
      <w:r w:rsidRPr="00405D7C">
        <w:rPr>
          <w:rFonts w:cs="Times New Roman"/>
          <w:szCs w:val="24"/>
        </w:rPr>
        <w:t>Bolong</w:t>
      </w:r>
      <w:proofErr w:type="spellEnd"/>
      <w:r w:rsidRPr="00405D7C">
        <w:rPr>
          <w:rFonts w:cs="Times New Roman"/>
          <w:szCs w:val="24"/>
        </w:rPr>
        <w:t xml:space="preserve"> A-M. 2013. Nutritional effects of ginger (</w:t>
      </w:r>
      <w:proofErr w:type="spellStart"/>
      <w:r w:rsidRPr="00405D7C">
        <w:rPr>
          <w:rFonts w:cs="Times New Roman"/>
          <w:i/>
          <w:szCs w:val="24"/>
        </w:rPr>
        <w:t>Zingiber</w:t>
      </w:r>
      <w:proofErr w:type="spellEnd"/>
      <w:r w:rsidRPr="00405D7C">
        <w:rPr>
          <w:rFonts w:cs="Times New Roman"/>
          <w:i/>
          <w:szCs w:val="24"/>
        </w:rPr>
        <w:t xml:space="preserve"> </w:t>
      </w:r>
      <w:proofErr w:type="spellStart"/>
      <w:r w:rsidRPr="00405D7C">
        <w:rPr>
          <w:rFonts w:cs="Times New Roman"/>
          <w:i/>
          <w:szCs w:val="24"/>
        </w:rPr>
        <w:t>officinale</w:t>
      </w:r>
      <w:proofErr w:type="spellEnd"/>
      <w:r w:rsidRPr="00405D7C">
        <w:rPr>
          <w:rFonts w:cs="Times New Roman"/>
          <w:szCs w:val="24"/>
        </w:rPr>
        <w:t xml:space="preserve"> Roscoe) on immune response of Asian sea bass, </w:t>
      </w:r>
      <w:proofErr w:type="spellStart"/>
      <w:r w:rsidRPr="00405D7C">
        <w:rPr>
          <w:rFonts w:cs="Times New Roman"/>
          <w:i/>
          <w:szCs w:val="24"/>
        </w:rPr>
        <w:t>Lates</w:t>
      </w:r>
      <w:proofErr w:type="spellEnd"/>
      <w:r w:rsidRPr="00405D7C">
        <w:rPr>
          <w:rFonts w:cs="Times New Roman"/>
          <w:i/>
          <w:szCs w:val="24"/>
        </w:rPr>
        <w:t xml:space="preserve"> </w:t>
      </w:r>
      <w:proofErr w:type="spellStart"/>
      <w:r w:rsidRPr="00405D7C">
        <w:rPr>
          <w:rFonts w:cs="Times New Roman"/>
          <w:i/>
          <w:szCs w:val="24"/>
        </w:rPr>
        <w:t>calcarifer</w:t>
      </w:r>
      <w:proofErr w:type="spellEnd"/>
      <w:r w:rsidRPr="00405D7C">
        <w:rPr>
          <w:rFonts w:cs="Times New Roman"/>
          <w:szCs w:val="24"/>
        </w:rPr>
        <w:t xml:space="preserve"> (Bloch) and disease resistance against </w:t>
      </w:r>
      <w:r w:rsidRPr="00405D7C">
        <w:rPr>
          <w:rFonts w:cs="Times New Roman"/>
          <w:i/>
          <w:szCs w:val="24"/>
        </w:rPr>
        <w:t xml:space="preserve">Vibrio </w:t>
      </w:r>
      <w:proofErr w:type="spellStart"/>
      <w:r w:rsidRPr="00405D7C">
        <w:rPr>
          <w:rFonts w:cs="Times New Roman"/>
          <w:i/>
          <w:szCs w:val="24"/>
        </w:rPr>
        <w:t>harveyi</w:t>
      </w:r>
      <w:proofErr w:type="spellEnd"/>
      <w:r w:rsidRPr="00405D7C">
        <w:rPr>
          <w:rFonts w:cs="Times New Roman"/>
          <w:szCs w:val="24"/>
        </w:rPr>
        <w:t>. Aquaculture</w:t>
      </w:r>
      <w:r w:rsidR="00AC2B03" w:rsidRPr="00405D7C">
        <w:rPr>
          <w:rFonts w:cs="Times New Roman"/>
          <w:szCs w:val="24"/>
        </w:rPr>
        <w:t>.</w:t>
      </w:r>
      <w:r w:rsidRPr="00405D7C">
        <w:rPr>
          <w:rFonts w:cs="Times New Roman"/>
          <w:szCs w:val="24"/>
        </w:rPr>
        <w:t xml:space="preserve"> 400–401: 46–52.</w:t>
      </w:r>
      <w:r w:rsidR="00AC2B03" w:rsidRPr="00405D7C">
        <w:rPr>
          <w:rFonts w:cs="Times New Roman"/>
          <w:szCs w:val="24"/>
        </w:rPr>
        <w:t xml:space="preserve"> Available from: </w:t>
      </w:r>
      <w:hyperlink r:id="rId57" w:tgtFrame="_blank" w:tooltip="Persistent link using digital object identifier" w:history="1">
        <w:r w:rsidR="00AC2B03" w:rsidRPr="00405D7C">
          <w:rPr>
            <w:rStyle w:val="Hyperlink"/>
            <w:rFonts w:cs="Times New Roman"/>
            <w:color w:val="auto"/>
            <w:szCs w:val="24"/>
            <w:u w:val="none"/>
          </w:rPr>
          <w:t>https://doi.org/10.1016/j.aquaculture.2013.02.043</w:t>
        </w:r>
      </w:hyperlink>
    </w:p>
    <w:p w:rsidR="00CC65F4" w:rsidRPr="00405D7C" w:rsidRDefault="009F6756">
      <w:pPr>
        <w:suppressLineNumbers/>
        <w:spacing w:after="0" w:line="240" w:lineRule="auto"/>
        <w:ind w:left="720" w:hanging="720"/>
        <w:rPr>
          <w:rFonts w:cs="Times New Roman"/>
          <w:szCs w:val="24"/>
        </w:rPr>
      </w:pPr>
      <w:proofErr w:type="spellStart"/>
      <w:r w:rsidRPr="00405D7C">
        <w:rPr>
          <w:rFonts w:cs="Times New Roman"/>
          <w:szCs w:val="24"/>
        </w:rPr>
        <w:t>Upadhaya</w:t>
      </w:r>
      <w:proofErr w:type="spellEnd"/>
      <w:r w:rsidR="00F24181" w:rsidRPr="00405D7C">
        <w:rPr>
          <w:rFonts w:cs="Times New Roman"/>
          <w:szCs w:val="24"/>
        </w:rPr>
        <w:t xml:space="preserve"> SD, Kim IH. 2017. Efficacy of Phytogenic Feed Additive on Performance, Production and Health Status of </w:t>
      </w:r>
      <w:proofErr w:type="spellStart"/>
      <w:r w:rsidR="00F24181" w:rsidRPr="00405D7C">
        <w:rPr>
          <w:rFonts w:cs="Times New Roman"/>
          <w:szCs w:val="24"/>
        </w:rPr>
        <w:t>Monogastric</w:t>
      </w:r>
      <w:proofErr w:type="spellEnd"/>
      <w:r w:rsidR="00F24181" w:rsidRPr="00405D7C">
        <w:rPr>
          <w:rFonts w:cs="Times New Roman"/>
          <w:szCs w:val="24"/>
        </w:rPr>
        <w:t xml:space="preserve"> A</w:t>
      </w:r>
      <w:r w:rsidRPr="00405D7C">
        <w:rPr>
          <w:rFonts w:cs="Times New Roman"/>
          <w:szCs w:val="24"/>
        </w:rPr>
        <w:t xml:space="preserve">nimals – </w:t>
      </w:r>
      <w:r w:rsidR="00F24181" w:rsidRPr="00405D7C">
        <w:rPr>
          <w:rFonts w:cs="Times New Roman"/>
          <w:szCs w:val="24"/>
        </w:rPr>
        <w:t>A R</w:t>
      </w:r>
      <w:r w:rsidRPr="00405D7C">
        <w:rPr>
          <w:rFonts w:cs="Times New Roman"/>
          <w:szCs w:val="24"/>
        </w:rPr>
        <w:t xml:space="preserve">eview. Ann </w:t>
      </w:r>
      <w:proofErr w:type="spellStart"/>
      <w:r w:rsidRPr="00405D7C">
        <w:rPr>
          <w:rFonts w:cs="Times New Roman"/>
          <w:szCs w:val="24"/>
        </w:rPr>
        <w:t>Anim</w:t>
      </w:r>
      <w:proofErr w:type="spellEnd"/>
      <w:r w:rsidRPr="00405D7C">
        <w:rPr>
          <w:rFonts w:cs="Times New Roman"/>
          <w:szCs w:val="24"/>
        </w:rPr>
        <w:t xml:space="preserve"> Sci</w:t>
      </w:r>
      <w:r w:rsidR="00F24181" w:rsidRPr="00405D7C">
        <w:rPr>
          <w:rFonts w:cs="Times New Roman"/>
          <w:szCs w:val="24"/>
        </w:rPr>
        <w:t>.</w:t>
      </w:r>
      <w:r w:rsidRPr="00405D7C">
        <w:rPr>
          <w:rFonts w:cs="Times New Roman"/>
          <w:szCs w:val="24"/>
        </w:rPr>
        <w:t xml:space="preserve"> 17</w:t>
      </w:r>
      <w:r w:rsidR="00AC2B03" w:rsidRPr="00405D7C">
        <w:rPr>
          <w:rFonts w:cs="Times New Roman"/>
          <w:szCs w:val="24"/>
        </w:rPr>
        <w:t>(4)</w:t>
      </w:r>
      <w:r w:rsidRPr="00405D7C">
        <w:rPr>
          <w:rFonts w:cs="Times New Roman"/>
          <w:szCs w:val="24"/>
        </w:rPr>
        <w:t>: 929–948.</w:t>
      </w:r>
      <w:r w:rsidR="00AC2B03" w:rsidRPr="00405D7C">
        <w:rPr>
          <w:rFonts w:cs="Times New Roman"/>
          <w:szCs w:val="24"/>
        </w:rPr>
        <w:t xml:space="preserve"> Available from: </w:t>
      </w:r>
      <w:hyperlink r:id="rId58" w:tgtFrame="_blank" w:history="1">
        <w:r w:rsidR="00AC2B03" w:rsidRPr="00405D7C">
          <w:rPr>
            <w:rStyle w:val="Hyperlink"/>
            <w:rFonts w:cs="Times New Roman"/>
            <w:color w:val="auto"/>
            <w:szCs w:val="24"/>
            <w:u w:val="none"/>
            <w:shd w:val="clear" w:color="auto" w:fill="FFFFFF"/>
          </w:rPr>
          <w:t>https://doi.org/10.1515/aoas-2016-0079</w:t>
        </w:r>
      </w:hyperlink>
      <w:r w:rsidR="00AC2B03" w:rsidRPr="00405D7C">
        <w:rPr>
          <w:rFonts w:cs="Times New Roman"/>
          <w:szCs w:val="24"/>
          <w:shd w:val="clear" w:color="auto" w:fill="FFFFFF"/>
        </w:rPr>
        <w:t> </w:t>
      </w:r>
    </w:p>
    <w:p w:rsidR="00CC65F4" w:rsidRPr="00405D7C" w:rsidRDefault="009F6756">
      <w:pPr>
        <w:suppressLineNumbers/>
        <w:spacing w:after="0" w:line="240" w:lineRule="auto"/>
        <w:ind w:left="785" w:hangingChars="327" w:hanging="785"/>
        <w:rPr>
          <w:rFonts w:cs="Times New Roman"/>
          <w:szCs w:val="24"/>
        </w:rPr>
      </w:pPr>
      <w:proofErr w:type="spellStart"/>
      <w:r w:rsidRPr="00405D7C">
        <w:rPr>
          <w:rFonts w:cs="Times New Roman"/>
          <w:szCs w:val="24"/>
        </w:rPr>
        <w:t>Venketramalingam</w:t>
      </w:r>
      <w:proofErr w:type="spellEnd"/>
      <w:r w:rsidRPr="00405D7C">
        <w:rPr>
          <w:rFonts w:cs="Times New Roman"/>
          <w:szCs w:val="24"/>
        </w:rPr>
        <w:t xml:space="preserve"> K, Christopher JG, </w:t>
      </w:r>
      <w:proofErr w:type="spellStart"/>
      <w:r w:rsidRPr="00405D7C">
        <w:rPr>
          <w:rFonts w:cs="Times New Roman"/>
          <w:szCs w:val="24"/>
        </w:rPr>
        <w:t>Citarasu</w:t>
      </w:r>
      <w:proofErr w:type="spellEnd"/>
      <w:r w:rsidRPr="00405D7C">
        <w:rPr>
          <w:rFonts w:cs="Times New Roman"/>
          <w:szCs w:val="24"/>
        </w:rPr>
        <w:t xml:space="preserve"> T. 2007. </w:t>
      </w:r>
      <w:proofErr w:type="spellStart"/>
      <w:r w:rsidRPr="00405D7C">
        <w:rPr>
          <w:rFonts w:cs="Times New Roman"/>
          <w:i/>
          <w:szCs w:val="24"/>
        </w:rPr>
        <w:t>Zingiber</w:t>
      </w:r>
      <w:proofErr w:type="spellEnd"/>
      <w:r w:rsidRPr="00405D7C">
        <w:rPr>
          <w:rFonts w:cs="Times New Roman"/>
          <w:i/>
          <w:szCs w:val="24"/>
        </w:rPr>
        <w:t xml:space="preserve"> </w:t>
      </w:r>
      <w:proofErr w:type="spellStart"/>
      <w:r w:rsidRPr="00405D7C">
        <w:rPr>
          <w:rFonts w:cs="Times New Roman"/>
          <w:i/>
          <w:szCs w:val="24"/>
        </w:rPr>
        <w:t>ofﬁcinalis</w:t>
      </w:r>
      <w:proofErr w:type="spellEnd"/>
      <w:r w:rsidRPr="00405D7C">
        <w:rPr>
          <w:rFonts w:cs="Times New Roman"/>
          <w:szCs w:val="24"/>
        </w:rPr>
        <w:t xml:space="preserve"> an herbal appetizer in the tiger shrimp </w:t>
      </w:r>
      <w:proofErr w:type="spellStart"/>
      <w:r w:rsidRPr="00405D7C">
        <w:rPr>
          <w:rFonts w:cs="Times New Roman"/>
          <w:i/>
          <w:szCs w:val="24"/>
        </w:rPr>
        <w:t>Penaeus</w:t>
      </w:r>
      <w:proofErr w:type="spellEnd"/>
      <w:r w:rsidRPr="00405D7C">
        <w:rPr>
          <w:rFonts w:cs="Times New Roman"/>
          <w:i/>
          <w:szCs w:val="24"/>
        </w:rPr>
        <w:t xml:space="preserve"> monodon</w:t>
      </w:r>
      <w:r w:rsidRPr="00405D7C">
        <w:rPr>
          <w:rFonts w:cs="Times New Roman"/>
          <w:szCs w:val="24"/>
        </w:rPr>
        <w:t xml:space="preserve"> (</w:t>
      </w:r>
      <w:proofErr w:type="spellStart"/>
      <w:r w:rsidRPr="00405D7C">
        <w:rPr>
          <w:rFonts w:cs="Times New Roman"/>
          <w:szCs w:val="24"/>
        </w:rPr>
        <w:t>Fabricius</w:t>
      </w:r>
      <w:proofErr w:type="spellEnd"/>
      <w:r w:rsidRPr="00405D7C">
        <w:rPr>
          <w:rFonts w:cs="Times New Roman"/>
          <w:szCs w:val="24"/>
        </w:rPr>
        <w:t xml:space="preserve">) </w:t>
      </w:r>
      <w:proofErr w:type="spellStart"/>
      <w:r w:rsidRPr="00405D7C">
        <w:rPr>
          <w:rFonts w:cs="Times New Roman"/>
          <w:szCs w:val="24"/>
        </w:rPr>
        <w:t>larviculture</w:t>
      </w:r>
      <w:proofErr w:type="spellEnd"/>
      <w:r w:rsidRPr="00405D7C">
        <w:rPr>
          <w:rFonts w:cs="Times New Roman"/>
          <w:szCs w:val="24"/>
        </w:rPr>
        <w:t xml:space="preserve">. </w:t>
      </w:r>
      <w:proofErr w:type="spellStart"/>
      <w:r w:rsidRPr="00405D7C">
        <w:rPr>
          <w:rFonts w:cs="Times New Roman"/>
          <w:szCs w:val="24"/>
        </w:rPr>
        <w:t>Aquac</w:t>
      </w:r>
      <w:proofErr w:type="spellEnd"/>
      <w:r w:rsidRPr="00405D7C">
        <w:rPr>
          <w:rFonts w:cs="Times New Roman"/>
          <w:szCs w:val="24"/>
        </w:rPr>
        <w:t xml:space="preserve"> </w:t>
      </w:r>
      <w:proofErr w:type="spellStart"/>
      <w:r w:rsidRPr="00405D7C">
        <w:rPr>
          <w:rFonts w:cs="Times New Roman"/>
          <w:szCs w:val="24"/>
        </w:rPr>
        <w:t>Nutr</w:t>
      </w:r>
      <w:proofErr w:type="spellEnd"/>
      <w:r w:rsidR="00F24181" w:rsidRPr="00405D7C">
        <w:rPr>
          <w:rFonts w:cs="Times New Roman"/>
          <w:szCs w:val="24"/>
        </w:rPr>
        <w:t>.</w:t>
      </w:r>
      <w:r w:rsidRPr="00405D7C">
        <w:rPr>
          <w:rFonts w:cs="Times New Roman"/>
          <w:szCs w:val="24"/>
        </w:rPr>
        <w:t xml:space="preserve"> 13</w:t>
      </w:r>
      <w:r w:rsidR="00F24181" w:rsidRPr="00405D7C">
        <w:rPr>
          <w:rFonts w:cs="Times New Roman"/>
          <w:szCs w:val="24"/>
        </w:rPr>
        <w:t>(6)</w:t>
      </w:r>
      <w:r w:rsidRPr="00405D7C">
        <w:rPr>
          <w:rFonts w:cs="Times New Roman"/>
          <w:szCs w:val="24"/>
        </w:rPr>
        <w:t>: 439–443.</w:t>
      </w:r>
      <w:r w:rsidR="00F24181" w:rsidRPr="00405D7C">
        <w:rPr>
          <w:rFonts w:cs="Times New Roman"/>
          <w:szCs w:val="24"/>
        </w:rPr>
        <w:t xml:space="preserve"> Available from: https://doi.org/10.1111/j.1365-2095.2007.00495.x</w:t>
      </w:r>
    </w:p>
    <w:p w:rsidR="00F24181" w:rsidRPr="00405D7C" w:rsidRDefault="009F6756" w:rsidP="00315F99">
      <w:pPr>
        <w:suppressLineNumbers/>
        <w:spacing w:after="0" w:line="240" w:lineRule="auto"/>
        <w:ind w:left="785" w:hangingChars="327" w:hanging="785"/>
        <w:rPr>
          <w:rFonts w:cs="Times New Roman"/>
          <w:szCs w:val="24"/>
        </w:rPr>
      </w:pPr>
      <w:proofErr w:type="spellStart"/>
      <w:r w:rsidRPr="00405D7C">
        <w:rPr>
          <w:rFonts w:cs="Times New Roman"/>
          <w:szCs w:val="24"/>
        </w:rPr>
        <w:t>Wenk</w:t>
      </w:r>
      <w:proofErr w:type="spellEnd"/>
      <w:r w:rsidR="00315F99" w:rsidRPr="00405D7C">
        <w:rPr>
          <w:rFonts w:cs="Times New Roman"/>
          <w:szCs w:val="24"/>
        </w:rPr>
        <w:t xml:space="preserve"> C. 2003. Herbs and Botanicals as Feed Additive in </w:t>
      </w:r>
      <w:proofErr w:type="spellStart"/>
      <w:r w:rsidR="00315F99" w:rsidRPr="00405D7C">
        <w:rPr>
          <w:rFonts w:cs="Times New Roman"/>
          <w:szCs w:val="24"/>
        </w:rPr>
        <w:t>M</w:t>
      </w:r>
      <w:r w:rsidRPr="00405D7C">
        <w:rPr>
          <w:rFonts w:cs="Times New Roman"/>
          <w:szCs w:val="24"/>
        </w:rPr>
        <w:t>onogastric</w:t>
      </w:r>
      <w:proofErr w:type="spellEnd"/>
      <w:r w:rsidR="00315F99" w:rsidRPr="00405D7C">
        <w:rPr>
          <w:rFonts w:cs="Times New Roman"/>
          <w:szCs w:val="24"/>
        </w:rPr>
        <w:t xml:space="preserve"> Animals. Asian–Australasian J </w:t>
      </w:r>
      <w:proofErr w:type="spellStart"/>
      <w:r w:rsidR="00405D7C">
        <w:rPr>
          <w:rFonts w:cs="Times New Roman"/>
          <w:szCs w:val="24"/>
        </w:rPr>
        <w:t>Anim</w:t>
      </w:r>
      <w:proofErr w:type="spellEnd"/>
      <w:r w:rsidR="00405D7C">
        <w:rPr>
          <w:rFonts w:cs="Times New Roman"/>
          <w:szCs w:val="24"/>
        </w:rPr>
        <w:t xml:space="preserve"> </w:t>
      </w:r>
      <w:r w:rsidRPr="00405D7C">
        <w:rPr>
          <w:rFonts w:cs="Times New Roman"/>
          <w:szCs w:val="24"/>
        </w:rPr>
        <w:t>Sci</w:t>
      </w:r>
      <w:r w:rsidR="00F24181" w:rsidRPr="00405D7C">
        <w:rPr>
          <w:rFonts w:cs="Times New Roman"/>
          <w:szCs w:val="24"/>
        </w:rPr>
        <w:t>.</w:t>
      </w:r>
      <w:r w:rsidRPr="00405D7C">
        <w:rPr>
          <w:rFonts w:cs="Times New Roman"/>
          <w:szCs w:val="24"/>
        </w:rPr>
        <w:t xml:space="preserve"> 16</w:t>
      </w:r>
      <w:r w:rsidR="00F24181" w:rsidRPr="00405D7C">
        <w:rPr>
          <w:rFonts w:cs="Times New Roman"/>
          <w:szCs w:val="24"/>
        </w:rPr>
        <w:t>(2)</w:t>
      </w:r>
      <w:r w:rsidRPr="00405D7C">
        <w:rPr>
          <w:rFonts w:cs="Times New Roman"/>
          <w:szCs w:val="24"/>
        </w:rPr>
        <w:t>: 282–289.</w:t>
      </w:r>
      <w:r w:rsidR="00F24181" w:rsidRPr="00405D7C">
        <w:rPr>
          <w:rFonts w:cs="Times New Roman"/>
          <w:szCs w:val="24"/>
        </w:rPr>
        <w:t xml:space="preserve"> Avai</w:t>
      </w:r>
      <w:r w:rsidR="00315F99" w:rsidRPr="00405D7C">
        <w:rPr>
          <w:rFonts w:cs="Times New Roman"/>
          <w:szCs w:val="24"/>
        </w:rPr>
        <w:t xml:space="preserve">lable from: </w:t>
      </w:r>
      <w:hyperlink r:id="rId59" w:history="1">
        <w:r w:rsidR="00F24181" w:rsidRPr="00405D7C">
          <w:rPr>
            <w:rStyle w:val="Hyperlink"/>
            <w:rFonts w:cs="Times New Roman"/>
            <w:color w:val="auto"/>
            <w:szCs w:val="24"/>
            <w:u w:val="none"/>
            <w:bdr w:val="none" w:sz="0" w:space="0" w:color="auto" w:frame="1"/>
            <w:shd w:val="clear" w:color="auto" w:fill="FFFFFF"/>
          </w:rPr>
          <w:t>https://doi.org/10.5713/ajas.2003.282</w:t>
        </w:r>
      </w:hyperlink>
    </w:p>
    <w:p w:rsidR="00315F99" w:rsidRPr="00405D7C" w:rsidRDefault="009F6756" w:rsidP="00315F99">
      <w:pPr>
        <w:suppressLineNumbers/>
        <w:spacing w:after="0" w:line="240" w:lineRule="auto"/>
        <w:ind w:left="785" w:hangingChars="327" w:hanging="785"/>
        <w:rPr>
          <w:rFonts w:cs="Times New Roman"/>
          <w:szCs w:val="24"/>
        </w:rPr>
      </w:pPr>
      <w:r w:rsidRPr="00405D7C">
        <w:rPr>
          <w:rFonts w:cs="Times New Roman"/>
          <w:szCs w:val="24"/>
        </w:rPr>
        <w:t xml:space="preserve">Wei L, Musa N. 2008. Inhibition of </w:t>
      </w:r>
      <w:proofErr w:type="spellStart"/>
      <w:r w:rsidRPr="00405D7C">
        <w:rPr>
          <w:rFonts w:cs="Times New Roman"/>
          <w:szCs w:val="24"/>
        </w:rPr>
        <w:t>Edwardsiella</w:t>
      </w:r>
      <w:proofErr w:type="spellEnd"/>
      <w:r w:rsidRPr="00405D7C">
        <w:rPr>
          <w:rFonts w:cs="Times New Roman"/>
          <w:szCs w:val="24"/>
        </w:rPr>
        <w:t xml:space="preserve"> </w:t>
      </w:r>
      <w:proofErr w:type="spellStart"/>
      <w:r w:rsidRPr="00405D7C">
        <w:rPr>
          <w:rFonts w:cs="Times New Roman"/>
          <w:szCs w:val="24"/>
        </w:rPr>
        <w:t>tarda</w:t>
      </w:r>
      <w:proofErr w:type="spellEnd"/>
      <w:r w:rsidRPr="00405D7C">
        <w:rPr>
          <w:rFonts w:cs="Times New Roman"/>
          <w:szCs w:val="24"/>
        </w:rPr>
        <w:t xml:space="preserve"> and other fish pathogens by </w:t>
      </w:r>
      <w:r w:rsidRPr="00405D7C">
        <w:rPr>
          <w:rFonts w:cs="Times New Roman"/>
          <w:i/>
          <w:szCs w:val="24"/>
        </w:rPr>
        <w:t xml:space="preserve">Allium </w:t>
      </w:r>
      <w:proofErr w:type="spellStart"/>
      <w:r w:rsidRPr="00405D7C">
        <w:rPr>
          <w:rFonts w:cs="Times New Roman"/>
          <w:i/>
          <w:szCs w:val="24"/>
        </w:rPr>
        <w:t>sativum</w:t>
      </w:r>
      <w:proofErr w:type="spellEnd"/>
      <w:r w:rsidRPr="00405D7C">
        <w:rPr>
          <w:rFonts w:cs="Times New Roman"/>
          <w:szCs w:val="24"/>
        </w:rPr>
        <w:t xml:space="preserve"> L. (</w:t>
      </w:r>
      <w:proofErr w:type="spellStart"/>
      <w:r w:rsidRPr="00405D7C">
        <w:rPr>
          <w:rFonts w:cs="Times New Roman"/>
          <w:szCs w:val="24"/>
        </w:rPr>
        <w:t>Alliaceae</w:t>
      </w:r>
      <w:proofErr w:type="spellEnd"/>
      <w:r w:rsidRPr="00405D7C">
        <w:rPr>
          <w:rFonts w:cs="Times New Roman"/>
          <w:szCs w:val="24"/>
        </w:rPr>
        <w:t>) extract. Am-</w:t>
      </w:r>
      <w:proofErr w:type="spellStart"/>
      <w:r w:rsidRPr="00405D7C">
        <w:rPr>
          <w:rFonts w:cs="Times New Roman"/>
          <w:szCs w:val="24"/>
        </w:rPr>
        <w:t>Eur</w:t>
      </w:r>
      <w:proofErr w:type="spellEnd"/>
      <w:r w:rsidRPr="00405D7C">
        <w:rPr>
          <w:rFonts w:cs="Times New Roman"/>
          <w:szCs w:val="24"/>
        </w:rPr>
        <w:t xml:space="preserve"> J </w:t>
      </w:r>
      <w:proofErr w:type="spellStart"/>
      <w:r w:rsidRPr="00405D7C">
        <w:rPr>
          <w:rFonts w:cs="Times New Roman"/>
          <w:szCs w:val="24"/>
        </w:rPr>
        <w:t>Agric</w:t>
      </w:r>
      <w:proofErr w:type="spellEnd"/>
      <w:r w:rsidRPr="00405D7C">
        <w:rPr>
          <w:rFonts w:cs="Times New Roman"/>
          <w:szCs w:val="24"/>
        </w:rPr>
        <w:t xml:space="preserve"> Environ </w:t>
      </w:r>
      <w:proofErr w:type="spellStart"/>
      <w:r w:rsidRPr="00405D7C">
        <w:rPr>
          <w:rFonts w:cs="Times New Roman"/>
          <w:szCs w:val="24"/>
        </w:rPr>
        <w:t>Sci</w:t>
      </w:r>
      <w:proofErr w:type="spellEnd"/>
      <w:r w:rsidRPr="00405D7C">
        <w:rPr>
          <w:rFonts w:cs="Times New Roman"/>
          <w:szCs w:val="24"/>
        </w:rPr>
        <w:t xml:space="preserve"> 3</w:t>
      </w:r>
      <w:r w:rsidR="00315F99" w:rsidRPr="00405D7C">
        <w:rPr>
          <w:rFonts w:cs="Times New Roman"/>
          <w:szCs w:val="24"/>
        </w:rPr>
        <w:t>(5)</w:t>
      </w:r>
      <w:r w:rsidRPr="00405D7C">
        <w:rPr>
          <w:rFonts w:cs="Times New Roman"/>
          <w:szCs w:val="24"/>
        </w:rPr>
        <w:t>: 692–696.</w:t>
      </w:r>
      <w:r w:rsidR="00315F99" w:rsidRPr="00405D7C">
        <w:rPr>
          <w:rFonts w:cs="Times New Roman"/>
          <w:szCs w:val="24"/>
        </w:rPr>
        <w:t xml:space="preserve"> Available from: http://www.idosi.org/aejaes/jaes3(5)/4.pdf</w:t>
      </w:r>
    </w:p>
    <w:p w:rsidR="00315F99" w:rsidRPr="00405D7C" w:rsidRDefault="009F6756" w:rsidP="00315F99">
      <w:pPr>
        <w:suppressLineNumbers/>
        <w:spacing w:after="0" w:line="240" w:lineRule="auto"/>
        <w:ind w:left="720" w:hanging="720"/>
        <w:rPr>
          <w:rFonts w:cs="Times New Roman"/>
          <w:szCs w:val="24"/>
        </w:rPr>
      </w:pPr>
      <w:proofErr w:type="spellStart"/>
      <w:r w:rsidRPr="00405D7C">
        <w:rPr>
          <w:rFonts w:cs="Times New Roman"/>
          <w:szCs w:val="24"/>
        </w:rPr>
        <w:t>Windisch</w:t>
      </w:r>
      <w:proofErr w:type="spellEnd"/>
      <w:r w:rsidRPr="00405D7C">
        <w:rPr>
          <w:rFonts w:cs="Times New Roman"/>
          <w:szCs w:val="24"/>
        </w:rPr>
        <w:t xml:space="preserve"> W, </w:t>
      </w:r>
      <w:proofErr w:type="spellStart"/>
      <w:r w:rsidRPr="00405D7C">
        <w:rPr>
          <w:rFonts w:cs="Times New Roman"/>
          <w:szCs w:val="24"/>
        </w:rPr>
        <w:t>Schedle</w:t>
      </w:r>
      <w:proofErr w:type="spellEnd"/>
      <w:r w:rsidRPr="00405D7C">
        <w:rPr>
          <w:rFonts w:cs="Times New Roman"/>
          <w:szCs w:val="24"/>
        </w:rPr>
        <w:t xml:space="preserve"> K, </w:t>
      </w:r>
      <w:proofErr w:type="spellStart"/>
      <w:r w:rsidRPr="00405D7C">
        <w:rPr>
          <w:rFonts w:cs="Times New Roman"/>
          <w:szCs w:val="24"/>
        </w:rPr>
        <w:t>Plitzer</w:t>
      </w:r>
      <w:proofErr w:type="spellEnd"/>
      <w:r w:rsidRPr="00405D7C">
        <w:rPr>
          <w:rFonts w:cs="Times New Roman"/>
          <w:szCs w:val="24"/>
        </w:rPr>
        <w:t xml:space="preserve"> C, </w:t>
      </w:r>
      <w:proofErr w:type="spellStart"/>
      <w:r w:rsidRPr="00405D7C">
        <w:rPr>
          <w:rFonts w:cs="Times New Roman"/>
          <w:szCs w:val="24"/>
        </w:rPr>
        <w:t>Kroismayr</w:t>
      </w:r>
      <w:proofErr w:type="spellEnd"/>
      <w:r w:rsidRPr="00405D7C">
        <w:rPr>
          <w:rFonts w:cs="Times New Roman"/>
          <w:szCs w:val="24"/>
        </w:rPr>
        <w:t xml:space="preserve"> A. 2008. Use of phytogenic products as feed additives for swine and poultry. J </w:t>
      </w:r>
      <w:proofErr w:type="spellStart"/>
      <w:r w:rsidRPr="00405D7C">
        <w:rPr>
          <w:rFonts w:cs="Times New Roman"/>
          <w:szCs w:val="24"/>
        </w:rPr>
        <w:t>Anim</w:t>
      </w:r>
      <w:proofErr w:type="spellEnd"/>
      <w:r w:rsidRPr="00405D7C">
        <w:rPr>
          <w:rFonts w:cs="Times New Roman"/>
          <w:szCs w:val="24"/>
        </w:rPr>
        <w:t xml:space="preserve"> Sci</w:t>
      </w:r>
      <w:r w:rsidR="00315F99" w:rsidRPr="00405D7C">
        <w:rPr>
          <w:rFonts w:cs="Times New Roman"/>
          <w:szCs w:val="24"/>
        </w:rPr>
        <w:t>.</w:t>
      </w:r>
      <w:r w:rsidRPr="00405D7C">
        <w:rPr>
          <w:rFonts w:cs="Times New Roman"/>
          <w:szCs w:val="24"/>
        </w:rPr>
        <w:t xml:space="preserve"> 86</w:t>
      </w:r>
      <w:r w:rsidR="00315F99" w:rsidRPr="00405D7C">
        <w:rPr>
          <w:rFonts w:cs="Times New Roman"/>
          <w:szCs w:val="24"/>
        </w:rPr>
        <w:t>(suppl_14)</w:t>
      </w:r>
      <w:r w:rsidRPr="00405D7C">
        <w:rPr>
          <w:rFonts w:cs="Times New Roman"/>
          <w:szCs w:val="24"/>
        </w:rPr>
        <w:t>: E140–E148.</w:t>
      </w:r>
      <w:r w:rsidR="00315F99" w:rsidRPr="00405D7C">
        <w:rPr>
          <w:rFonts w:cs="Times New Roman"/>
          <w:szCs w:val="24"/>
        </w:rPr>
        <w:t xml:space="preserve"> Available from: </w:t>
      </w:r>
      <w:hyperlink r:id="rId60" w:history="1">
        <w:r w:rsidR="00315F99" w:rsidRPr="00405D7C">
          <w:rPr>
            <w:rStyle w:val="Hyperlink"/>
            <w:rFonts w:cs="Times New Roman"/>
            <w:color w:val="auto"/>
            <w:szCs w:val="24"/>
            <w:u w:val="none"/>
            <w:bdr w:val="none" w:sz="0" w:space="0" w:color="auto" w:frame="1"/>
            <w:shd w:val="clear" w:color="auto" w:fill="FFFFFF"/>
          </w:rPr>
          <w:t>https://doi.org/10.2527/jas.2007-0459</w:t>
        </w:r>
      </w:hyperlink>
    </w:p>
    <w:p w:rsidR="00CC65F4" w:rsidRPr="00405D7C" w:rsidRDefault="009F6756">
      <w:pPr>
        <w:suppressLineNumbers/>
        <w:spacing w:after="0" w:line="240" w:lineRule="auto"/>
        <w:ind w:left="785" w:hangingChars="327" w:hanging="785"/>
        <w:rPr>
          <w:rFonts w:cs="Times New Roman"/>
          <w:szCs w:val="24"/>
        </w:rPr>
      </w:pPr>
      <w:r w:rsidRPr="00405D7C">
        <w:rPr>
          <w:rFonts w:cs="Times New Roman"/>
          <w:szCs w:val="24"/>
        </w:rPr>
        <w:lastRenderedPageBreak/>
        <w:t xml:space="preserve">Wong SD, Rawls JF. 2012. Intestinal microbiota composition in fishes is influenced by host ecology and environment. </w:t>
      </w:r>
      <w:proofErr w:type="spellStart"/>
      <w:r w:rsidRPr="00405D7C">
        <w:rPr>
          <w:rFonts w:cs="Times New Roman"/>
          <w:szCs w:val="24"/>
        </w:rPr>
        <w:t>Molec</w:t>
      </w:r>
      <w:proofErr w:type="spellEnd"/>
      <w:r w:rsidRPr="00405D7C">
        <w:rPr>
          <w:rFonts w:cs="Times New Roman"/>
          <w:szCs w:val="24"/>
        </w:rPr>
        <w:t xml:space="preserve"> Ecol</w:t>
      </w:r>
      <w:r w:rsidR="00315F99" w:rsidRPr="00405D7C">
        <w:rPr>
          <w:rFonts w:cs="Times New Roman"/>
          <w:szCs w:val="24"/>
        </w:rPr>
        <w:t>.</w:t>
      </w:r>
      <w:r w:rsidRPr="00405D7C">
        <w:rPr>
          <w:rFonts w:cs="Times New Roman"/>
          <w:szCs w:val="24"/>
        </w:rPr>
        <w:t xml:space="preserve"> 21</w:t>
      </w:r>
      <w:r w:rsidR="00315F99" w:rsidRPr="00405D7C">
        <w:rPr>
          <w:rFonts w:cs="Times New Roman"/>
          <w:szCs w:val="24"/>
        </w:rPr>
        <w:t>(13)</w:t>
      </w:r>
      <w:r w:rsidRPr="00405D7C">
        <w:rPr>
          <w:rFonts w:cs="Times New Roman"/>
          <w:szCs w:val="24"/>
        </w:rPr>
        <w:t>: 3100–3102.</w:t>
      </w:r>
      <w:r w:rsidR="00315F99" w:rsidRPr="00405D7C">
        <w:rPr>
          <w:rFonts w:cs="Times New Roman"/>
          <w:szCs w:val="24"/>
        </w:rPr>
        <w:t xml:space="preserve"> Available from: https://doi.org/10.1111/j.1365-294x.2012.05646.x</w:t>
      </w:r>
    </w:p>
    <w:p w:rsidR="00315F99" w:rsidRPr="00405D7C" w:rsidRDefault="009F6756" w:rsidP="00405D7C">
      <w:pPr>
        <w:suppressLineNumbers/>
        <w:spacing w:after="0" w:line="240" w:lineRule="auto"/>
        <w:ind w:left="785" w:hangingChars="327" w:hanging="785"/>
        <w:rPr>
          <w:rFonts w:cs="Times New Roman"/>
          <w:szCs w:val="24"/>
        </w:rPr>
      </w:pPr>
      <w:r w:rsidRPr="00405D7C">
        <w:rPr>
          <w:rFonts w:cs="Times New Roman"/>
          <w:szCs w:val="24"/>
        </w:rPr>
        <w:t xml:space="preserve">Yang C, Chowdhury MA, </w:t>
      </w:r>
      <w:proofErr w:type="spellStart"/>
      <w:r w:rsidRPr="00405D7C">
        <w:rPr>
          <w:rFonts w:cs="Times New Roman"/>
          <w:szCs w:val="24"/>
        </w:rPr>
        <w:t>Hu</w:t>
      </w:r>
      <w:r w:rsidR="00405D7C" w:rsidRPr="00405D7C">
        <w:rPr>
          <w:rFonts w:cs="Times New Roman"/>
          <w:szCs w:val="24"/>
        </w:rPr>
        <w:t>o</w:t>
      </w:r>
      <w:proofErr w:type="spellEnd"/>
      <w:r w:rsidR="00405D7C" w:rsidRPr="00405D7C">
        <w:rPr>
          <w:rFonts w:cs="Times New Roman"/>
          <w:szCs w:val="24"/>
        </w:rPr>
        <w:t xml:space="preserve"> Y, Gong J. 2015.  Phytogenic Compounds as Alternatives to In-Feed Antibiotics: Potentials and Challenges in A</w:t>
      </w:r>
      <w:r w:rsidRPr="00405D7C">
        <w:rPr>
          <w:rFonts w:cs="Times New Roman"/>
          <w:szCs w:val="24"/>
        </w:rPr>
        <w:t>pplication. Pathogens</w:t>
      </w:r>
      <w:r w:rsidR="00405D7C" w:rsidRPr="00405D7C">
        <w:rPr>
          <w:rFonts w:cs="Times New Roman"/>
          <w:szCs w:val="24"/>
        </w:rPr>
        <w:t>.</w:t>
      </w:r>
      <w:r w:rsidRPr="00405D7C">
        <w:rPr>
          <w:rFonts w:cs="Times New Roman"/>
          <w:szCs w:val="24"/>
        </w:rPr>
        <w:t xml:space="preserve"> 4</w:t>
      </w:r>
      <w:r w:rsidR="00315F99" w:rsidRPr="00405D7C">
        <w:rPr>
          <w:rFonts w:cs="Times New Roman"/>
          <w:szCs w:val="24"/>
        </w:rPr>
        <w:t>(1)</w:t>
      </w:r>
      <w:r w:rsidRPr="00405D7C">
        <w:rPr>
          <w:rFonts w:cs="Times New Roman"/>
          <w:szCs w:val="24"/>
        </w:rPr>
        <w:t>: 137–156.</w:t>
      </w:r>
      <w:r w:rsidR="00315F99" w:rsidRPr="00405D7C">
        <w:rPr>
          <w:rFonts w:cs="Times New Roman"/>
          <w:szCs w:val="24"/>
        </w:rPr>
        <w:t xml:space="preserve"> Available from:</w:t>
      </w:r>
      <w:r w:rsidR="00405D7C" w:rsidRPr="00405D7C">
        <w:rPr>
          <w:rFonts w:cs="Times New Roman"/>
          <w:szCs w:val="24"/>
        </w:rPr>
        <w:t xml:space="preserve"> </w:t>
      </w:r>
      <w:hyperlink r:id="rId61" w:history="1">
        <w:r w:rsidR="00315F99" w:rsidRPr="00405D7C">
          <w:rPr>
            <w:rStyle w:val="Hyperlink"/>
            <w:rFonts w:cs="Times New Roman"/>
            <w:bCs/>
            <w:color w:val="auto"/>
            <w:szCs w:val="24"/>
            <w:u w:val="none"/>
            <w:shd w:val="clear" w:color="auto" w:fill="FFFFFF"/>
          </w:rPr>
          <w:t>https://doi.org/10.3390/pathogens4010137</w:t>
        </w:r>
      </w:hyperlink>
    </w:p>
    <w:p w:rsidR="00405D7C" w:rsidRPr="00405D7C" w:rsidRDefault="00405D7C" w:rsidP="00405D7C">
      <w:pPr>
        <w:suppressLineNumbers/>
        <w:spacing w:after="0" w:line="240" w:lineRule="auto"/>
        <w:ind w:left="785" w:hangingChars="327" w:hanging="785"/>
        <w:rPr>
          <w:rFonts w:cs="Times New Roman"/>
          <w:szCs w:val="24"/>
        </w:rPr>
      </w:pPr>
      <w:proofErr w:type="spellStart"/>
      <w:r w:rsidRPr="00405D7C">
        <w:rPr>
          <w:rFonts w:cs="Times New Roman"/>
          <w:szCs w:val="24"/>
        </w:rPr>
        <w:t>Yegani</w:t>
      </w:r>
      <w:proofErr w:type="spellEnd"/>
      <w:r w:rsidRPr="00405D7C">
        <w:rPr>
          <w:rFonts w:cs="Times New Roman"/>
          <w:szCs w:val="24"/>
        </w:rPr>
        <w:t xml:space="preserve"> </w:t>
      </w:r>
      <w:r w:rsidR="009F6756" w:rsidRPr="00405D7C">
        <w:rPr>
          <w:rFonts w:cs="Times New Roman"/>
          <w:szCs w:val="24"/>
        </w:rPr>
        <w:t xml:space="preserve">M, </w:t>
      </w:r>
      <w:proofErr w:type="spellStart"/>
      <w:r w:rsidR="009F6756" w:rsidRPr="00405D7C">
        <w:rPr>
          <w:rFonts w:cs="Times New Roman"/>
          <w:szCs w:val="24"/>
        </w:rPr>
        <w:t>Korver</w:t>
      </w:r>
      <w:proofErr w:type="spellEnd"/>
      <w:r w:rsidR="009F6756" w:rsidRPr="00405D7C">
        <w:rPr>
          <w:rFonts w:cs="Times New Roman"/>
          <w:szCs w:val="24"/>
        </w:rPr>
        <w:t xml:space="preserve"> DR. 2008.  Fact</w:t>
      </w:r>
      <w:r w:rsidRPr="00405D7C">
        <w:rPr>
          <w:rFonts w:cs="Times New Roman"/>
          <w:szCs w:val="24"/>
        </w:rPr>
        <w:t>ors    Affecting   Intestinal Health in P</w:t>
      </w:r>
      <w:r w:rsidR="009F6756" w:rsidRPr="00405D7C">
        <w:rPr>
          <w:rFonts w:cs="Times New Roman"/>
          <w:szCs w:val="24"/>
        </w:rPr>
        <w:t xml:space="preserve">oultry. </w:t>
      </w:r>
      <w:proofErr w:type="spellStart"/>
      <w:r w:rsidR="009F6756" w:rsidRPr="00405D7C">
        <w:rPr>
          <w:rFonts w:cs="Times New Roman"/>
          <w:szCs w:val="24"/>
        </w:rPr>
        <w:t>Poult</w:t>
      </w:r>
      <w:proofErr w:type="spellEnd"/>
      <w:r w:rsidR="009F6756" w:rsidRPr="00405D7C">
        <w:rPr>
          <w:rFonts w:cs="Times New Roman"/>
          <w:szCs w:val="24"/>
        </w:rPr>
        <w:t xml:space="preserve"> Sci</w:t>
      </w:r>
      <w:r w:rsidRPr="00405D7C">
        <w:rPr>
          <w:rFonts w:cs="Times New Roman"/>
          <w:szCs w:val="24"/>
        </w:rPr>
        <w:t>.</w:t>
      </w:r>
      <w:r w:rsidR="009F6756" w:rsidRPr="00405D7C">
        <w:rPr>
          <w:rFonts w:cs="Times New Roman"/>
          <w:szCs w:val="24"/>
        </w:rPr>
        <w:t xml:space="preserve"> 87</w:t>
      </w:r>
      <w:r w:rsidRPr="00405D7C">
        <w:rPr>
          <w:rFonts w:cs="Times New Roman"/>
          <w:szCs w:val="24"/>
        </w:rPr>
        <w:t>(10)</w:t>
      </w:r>
      <w:r w:rsidR="009F6756" w:rsidRPr="00405D7C">
        <w:rPr>
          <w:rFonts w:cs="Times New Roman"/>
          <w:szCs w:val="24"/>
        </w:rPr>
        <w:t>: 2052-2063.</w:t>
      </w:r>
      <w:r w:rsidRPr="00405D7C">
        <w:rPr>
          <w:rFonts w:cs="Times New Roman"/>
          <w:szCs w:val="24"/>
        </w:rPr>
        <w:t xml:space="preserve"> Available from: </w:t>
      </w:r>
      <w:hyperlink r:id="rId62" w:tgtFrame="_blank" w:tooltip="Persistent link using digital object identifier" w:history="1">
        <w:r w:rsidRPr="00405D7C">
          <w:rPr>
            <w:rStyle w:val="Hyperlink"/>
            <w:rFonts w:cs="Times New Roman"/>
            <w:color w:val="auto"/>
            <w:szCs w:val="24"/>
            <w:u w:val="none"/>
          </w:rPr>
          <w:t>https://doi.org/10.3382/ps.2008-00091</w:t>
        </w:r>
      </w:hyperlink>
    </w:p>
    <w:p w:rsidR="00405D7C" w:rsidRPr="00405D7C" w:rsidRDefault="009F6756" w:rsidP="00405D7C">
      <w:pPr>
        <w:suppressLineNumbers/>
        <w:spacing w:after="0" w:line="240" w:lineRule="auto"/>
        <w:ind w:left="785" w:hangingChars="327" w:hanging="785"/>
        <w:rPr>
          <w:rFonts w:cs="Times New Roman"/>
          <w:szCs w:val="24"/>
        </w:rPr>
      </w:pPr>
      <w:r w:rsidRPr="00405D7C">
        <w:rPr>
          <w:rFonts w:cs="Times New Roman"/>
          <w:szCs w:val="24"/>
        </w:rPr>
        <w:t xml:space="preserve">Yoshida T, Kruger R, </w:t>
      </w:r>
      <w:proofErr w:type="spellStart"/>
      <w:r w:rsidRPr="00405D7C">
        <w:rPr>
          <w:rFonts w:cs="Times New Roman"/>
          <w:szCs w:val="24"/>
        </w:rPr>
        <w:t>Inglis</w:t>
      </w:r>
      <w:proofErr w:type="spellEnd"/>
      <w:r w:rsidRPr="00405D7C">
        <w:rPr>
          <w:rFonts w:cs="Times New Roman"/>
          <w:szCs w:val="24"/>
        </w:rPr>
        <w:t xml:space="preserve"> V. 1995. Augmentation of non-specific protection in African catfish, </w:t>
      </w:r>
      <w:proofErr w:type="spellStart"/>
      <w:r w:rsidRPr="00405D7C">
        <w:rPr>
          <w:rFonts w:cs="Times New Roman"/>
          <w:i/>
          <w:szCs w:val="24"/>
        </w:rPr>
        <w:t>Clarias</w:t>
      </w:r>
      <w:proofErr w:type="spellEnd"/>
      <w:r w:rsidRPr="00405D7C">
        <w:rPr>
          <w:rFonts w:cs="Times New Roman"/>
          <w:i/>
          <w:szCs w:val="24"/>
        </w:rPr>
        <w:t xml:space="preserve"> </w:t>
      </w:r>
      <w:proofErr w:type="spellStart"/>
      <w:r w:rsidRPr="00405D7C">
        <w:rPr>
          <w:rFonts w:cs="Times New Roman"/>
          <w:i/>
          <w:szCs w:val="24"/>
        </w:rPr>
        <w:t>gariepinus</w:t>
      </w:r>
      <w:proofErr w:type="spellEnd"/>
      <w:r w:rsidRPr="00405D7C">
        <w:rPr>
          <w:rFonts w:cs="Times New Roman"/>
          <w:szCs w:val="24"/>
        </w:rPr>
        <w:t xml:space="preserve"> (</w:t>
      </w:r>
      <w:proofErr w:type="spellStart"/>
      <w:r w:rsidRPr="00405D7C">
        <w:rPr>
          <w:rFonts w:cs="Times New Roman"/>
          <w:szCs w:val="24"/>
        </w:rPr>
        <w:t>Burchell</w:t>
      </w:r>
      <w:proofErr w:type="spellEnd"/>
      <w:r w:rsidRPr="00405D7C">
        <w:rPr>
          <w:rFonts w:cs="Times New Roman"/>
          <w:szCs w:val="24"/>
        </w:rPr>
        <w:t xml:space="preserve">), by the long-term oral administration of </w:t>
      </w:r>
      <w:proofErr w:type="spellStart"/>
      <w:r w:rsidRPr="00405D7C">
        <w:rPr>
          <w:rFonts w:cs="Times New Roman"/>
          <w:szCs w:val="24"/>
        </w:rPr>
        <w:t>immunostimulants</w:t>
      </w:r>
      <w:proofErr w:type="spellEnd"/>
      <w:r w:rsidRPr="00405D7C">
        <w:rPr>
          <w:rFonts w:cs="Times New Roman"/>
          <w:szCs w:val="24"/>
        </w:rPr>
        <w:t>. J Fish Dis</w:t>
      </w:r>
      <w:r w:rsidR="00405D7C" w:rsidRPr="00405D7C">
        <w:rPr>
          <w:rFonts w:cs="Times New Roman"/>
          <w:szCs w:val="24"/>
        </w:rPr>
        <w:t>.</w:t>
      </w:r>
      <w:r w:rsidRPr="00405D7C">
        <w:rPr>
          <w:rFonts w:cs="Times New Roman"/>
          <w:szCs w:val="24"/>
        </w:rPr>
        <w:t xml:space="preserve"> 18</w:t>
      </w:r>
      <w:r w:rsidR="00405D7C" w:rsidRPr="00405D7C">
        <w:rPr>
          <w:rFonts w:cs="Times New Roman"/>
          <w:szCs w:val="24"/>
        </w:rPr>
        <w:t>(2)</w:t>
      </w:r>
      <w:r w:rsidRPr="00405D7C">
        <w:rPr>
          <w:rFonts w:cs="Times New Roman"/>
          <w:szCs w:val="24"/>
        </w:rPr>
        <w:t>: 195–198.</w:t>
      </w:r>
      <w:r w:rsidR="00405D7C" w:rsidRPr="00405D7C">
        <w:rPr>
          <w:rFonts w:cs="Times New Roman"/>
          <w:szCs w:val="24"/>
        </w:rPr>
        <w:t xml:space="preserve"> Available from: https://doi.org/10.1111/j.1365-2761.1995.tb00278.x</w:t>
      </w:r>
    </w:p>
    <w:p w:rsidR="00405D7C" w:rsidRPr="00405D7C" w:rsidRDefault="009F6756" w:rsidP="00405D7C">
      <w:pPr>
        <w:suppressLineNumbers/>
        <w:spacing w:after="0" w:line="240" w:lineRule="auto"/>
        <w:ind w:left="785" w:hangingChars="327" w:hanging="785"/>
        <w:rPr>
          <w:rFonts w:cs="Times New Roman"/>
          <w:szCs w:val="24"/>
        </w:rPr>
      </w:pPr>
      <w:proofErr w:type="spellStart"/>
      <w:r w:rsidRPr="00405D7C">
        <w:rPr>
          <w:rFonts w:cs="Times New Roman"/>
          <w:szCs w:val="24"/>
        </w:rPr>
        <w:t>Zarkasi</w:t>
      </w:r>
      <w:proofErr w:type="spellEnd"/>
      <w:r w:rsidRPr="00405D7C">
        <w:rPr>
          <w:rFonts w:cs="Times New Roman"/>
          <w:szCs w:val="24"/>
        </w:rPr>
        <w:t xml:space="preserve"> KZ, Taylor RS, Glencross BD, </w:t>
      </w:r>
      <w:proofErr w:type="spellStart"/>
      <w:r w:rsidRPr="00405D7C">
        <w:rPr>
          <w:rFonts w:cs="Times New Roman"/>
          <w:szCs w:val="24"/>
        </w:rPr>
        <w:t>Abell</w:t>
      </w:r>
      <w:proofErr w:type="spellEnd"/>
      <w:r w:rsidRPr="00405D7C">
        <w:rPr>
          <w:rFonts w:cs="Times New Roman"/>
          <w:szCs w:val="24"/>
        </w:rPr>
        <w:t xml:space="preserve"> GCJ, </w:t>
      </w:r>
      <w:proofErr w:type="spellStart"/>
      <w:r w:rsidRPr="00405D7C">
        <w:rPr>
          <w:rFonts w:cs="Times New Roman"/>
          <w:szCs w:val="24"/>
        </w:rPr>
        <w:t>Tamplin</w:t>
      </w:r>
      <w:proofErr w:type="spellEnd"/>
      <w:r w:rsidRPr="00405D7C">
        <w:rPr>
          <w:rFonts w:cs="Times New Roman"/>
          <w:szCs w:val="24"/>
        </w:rPr>
        <w:t xml:space="preserve"> ML, Bowman JP. 2017. In vitro characteristics of an Atlantic salmon (</w:t>
      </w:r>
      <w:r w:rsidRPr="00405D7C">
        <w:rPr>
          <w:rFonts w:cs="Times New Roman"/>
          <w:i/>
          <w:szCs w:val="24"/>
        </w:rPr>
        <w:t xml:space="preserve">Salmo </w:t>
      </w:r>
      <w:proofErr w:type="spellStart"/>
      <w:r w:rsidRPr="00405D7C">
        <w:rPr>
          <w:rFonts w:cs="Times New Roman"/>
          <w:i/>
          <w:szCs w:val="24"/>
        </w:rPr>
        <w:t>salar</w:t>
      </w:r>
      <w:proofErr w:type="spellEnd"/>
      <w:r w:rsidRPr="00405D7C">
        <w:rPr>
          <w:rFonts w:cs="Times New Roman"/>
          <w:szCs w:val="24"/>
        </w:rPr>
        <w:t xml:space="preserve"> L.) hind gut microbial community in relation to different dietary treatments. Res </w:t>
      </w:r>
      <w:proofErr w:type="spellStart"/>
      <w:r w:rsidRPr="00405D7C">
        <w:rPr>
          <w:rFonts w:cs="Times New Roman"/>
          <w:szCs w:val="24"/>
        </w:rPr>
        <w:t>Microbiol</w:t>
      </w:r>
      <w:proofErr w:type="spellEnd"/>
      <w:r w:rsidR="00405D7C" w:rsidRPr="00405D7C">
        <w:rPr>
          <w:rFonts w:cs="Times New Roman"/>
          <w:szCs w:val="24"/>
        </w:rPr>
        <w:t>.</w:t>
      </w:r>
      <w:r w:rsidRPr="00405D7C">
        <w:rPr>
          <w:rFonts w:cs="Times New Roman"/>
          <w:szCs w:val="24"/>
        </w:rPr>
        <w:t xml:space="preserve"> 168</w:t>
      </w:r>
      <w:r w:rsidR="00405D7C" w:rsidRPr="00405D7C">
        <w:rPr>
          <w:rFonts w:cs="Times New Roman"/>
          <w:szCs w:val="24"/>
        </w:rPr>
        <w:t>(8)</w:t>
      </w:r>
      <w:r w:rsidRPr="00405D7C">
        <w:rPr>
          <w:rFonts w:cs="Times New Roman"/>
          <w:szCs w:val="24"/>
        </w:rPr>
        <w:t>: 751-759.</w:t>
      </w:r>
      <w:r w:rsidR="00405D7C" w:rsidRPr="00405D7C">
        <w:rPr>
          <w:rFonts w:cs="Times New Roman"/>
          <w:szCs w:val="24"/>
        </w:rPr>
        <w:t xml:space="preserve"> Available from: </w:t>
      </w:r>
      <w:hyperlink r:id="rId63" w:tgtFrame="_blank" w:tooltip="Persistent link using digital object identifier" w:history="1">
        <w:r w:rsidR="00405D7C" w:rsidRPr="00405D7C">
          <w:rPr>
            <w:rStyle w:val="Hyperlink"/>
            <w:rFonts w:cs="Times New Roman"/>
            <w:color w:val="auto"/>
            <w:szCs w:val="24"/>
            <w:u w:val="none"/>
          </w:rPr>
          <w:t>https://doi.org/10.1016/j.resmic.2017.07.003</w:t>
        </w:r>
      </w:hyperlink>
    </w:p>
    <w:p w:rsidR="00405D7C" w:rsidRPr="00405D7C" w:rsidRDefault="009F6756" w:rsidP="00405D7C">
      <w:pPr>
        <w:suppressLineNumbers/>
        <w:spacing w:after="0" w:line="240" w:lineRule="auto"/>
        <w:ind w:left="785" w:hangingChars="327" w:hanging="785"/>
        <w:rPr>
          <w:rFonts w:cs="Times New Roman"/>
          <w:szCs w:val="24"/>
        </w:rPr>
      </w:pPr>
      <w:r w:rsidRPr="00405D7C">
        <w:rPr>
          <w:rFonts w:cs="Times New Roman"/>
          <w:szCs w:val="24"/>
        </w:rPr>
        <w:t xml:space="preserve">Zhang Y, Wang QC, Yu H, Zhu J, de Lange K, Yin Y, et al. 2016. Evaluation of alginate-whey protein microcapsules for intestinal delivery of lipophilic compounds in pigs. J </w:t>
      </w:r>
      <w:proofErr w:type="spellStart"/>
      <w:r w:rsidRPr="00405D7C">
        <w:rPr>
          <w:rFonts w:cs="Times New Roman"/>
          <w:szCs w:val="24"/>
        </w:rPr>
        <w:t>Sci</w:t>
      </w:r>
      <w:proofErr w:type="spellEnd"/>
      <w:r w:rsidRPr="00405D7C">
        <w:rPr>
          <w:rFonts w:cs="Times New Roman"/>
          <w:szCs w:val="24"/>
        </w:rPr>
        <w:t xml:space="preserve"> Food Agric</w:t>
      </w:r>
      <w:r w:rsidR="00405D7C" w:rsidRPr="00405D7C">
        <w:rPr>
          <w:rFonts w:cs="Times New Roman"/>
          <w:szCs w:val="24"/>
        </w:rPr>
        <w:t>.</w:t>
      </w:r>
      <w:r w:rsidRPr="00405D7C">
        <w:rPr>
          <w:rFonts w:cs="Times New Roman"/>
          <w:szCs w:val="24"/>
        </w:rPr>
        <w:t xml:space="preserve"> 96</w:t>
      </w:r>
      <w:r w:rsidR="00405D7C" w:rsidRPr="00405D7C">
        <w:rPr>
          <w:rFonts w:cs="Times New Roman"/>
          <w:szCs w:val="24"/>
        </w:rPr>
        <w:t>(8)</w:t>
      </w:r>
      <w:r w:rsidRPr="00405D7C">
        <w:rPr>
          <w:rFonts w:cs="Times New Roman"/>
          <w:szCs w:val="24"/>
        </w:rPr>
        <w:t>: 2674–2681.</w:t>
      </w:r>
      <w:r w:rsidR="00405D7C" w:rsidRPr="00405D7C">
        <w:rPr>
          <w:rFonts w:cs="Times New Roman"/>
          <w:szCs w:val="24"/>
        </w:rPr>
        <w:t xml:space="preserve"> Available from: https://doi.org/10.1002/jsfa.7385</w:t>
      </w:r>
    </w:p>
    <w:p w:rsidR="00945347" w:rsidRDefault="009F6756" w:rsidP="00945347">
      <w:pPr>
        <w:suppressLineNumbers/>
        <w:spacing w:after="0" w:line="240" w:lineRule="auto"/>
        <w:ind w:left="785" w:hangingChars="327" w:hanging="785"/>
        <w:rPr>
          <w:rFonts w:cs="Times New Roman"/>
          <w:szCs w:val="24"/>
        </w:rPr>
      </w:pPr>
      <w:r w:rsidRPr="00405D7C">
        <w:rPr>
          <w:rFonts w:cs="Times New Roman"/>
          <w:szCs w:val="24"/>
        </w:rPr>
        <w:t xml:space="preserve">Zhu RJ, Cheng ZB, Tian YB, Ge CR. 2002. Effect of Chinese herb feed additives on the activities of digestive tract enzymes in pig starter. J Yunnan </w:t>
      </w:r>
      <w:proofErr w:type="spellStart"/>
      <w:r w:rsidRPr="00405D7C">
        <w:rPr>
          <w:rFonts w:cs="Times New Roman"/>
          <w:szCs w:val="24"/>
        </w:rPr>
        <w:t>Agricult</w:t>
      </w:r>
      <w:proofErr w:type="spellEnd"/>
      <w:r w:rsidRPr="00405D7C">
        <w:rPr>
          <w:rFonts w:cs="Times New Roman"/>
          <w:szCs w:val="24"/>
        </w:rPr>
        <w:t xml:space="preserve"> Univ</w:t>
      </w:r>
      <w:r w:rsidR="00405D7C" w:rsidRPr="00405D7C">
        <w:rPr>
          <w:rFonts w:cs="Times New Roman"/>
          <w:szCs w:val="24"/>
        </w:rPr>
        <w:t>.</w:t>
      </w:r>
      <w:r w:rsidRPr="00405D7C">
        <w:rPr>
          <w:rFonts w:cs="Times New Roman"/>
          <w:szCs w:val="24"/>
        </w:rPr>
        <w:t xml:space="preserve"> 17: 67-71.</w:t>
      </w:r>
      <w:r w:rsidR="00945347">
        <w:rPr>
          <w:rFonts w:cs="Times New Roman"/>
          <w:szCs w:val="24"/>
        </w:rPr>
        <w:br w:type="page"/>
      </w:r>
    </w:p>
    <w:p w:rsidR="00945347" w:rsidRDefault="00945347" w:rsidP="00945347">
      <w:pPr>
        <w:suppressLineNumbers/>
        <w:jc w:val="center"/>
      </w:pPr>
      <w:r>
        <w:lastRenderedPageBreak/>
        <w:t>TABLES</w:t>
      </w:r>
    </w:p>
    <w:p w:rsidR="00945347" w:rsidRDefault="00945347" w:rsidP="00945347">
      <w:pPr>
        <w:suppressLineNumbers/>
        <w:spacing w:after="0" w:line="240" w:lineRule="auto"/>
        <w:rPr>
          <w:rFonts w:eastAsia="Calibri" w:cs="Times New Roman"/>
          <w:szCs w:val="24"/>
          <w:lang w:val="en-PH"/>
        </w:rPr>
      </w:pPr>
      <w:r>
        <w:rPr>
          <w:rFonts w:eastAsia="Calibri" w:cs="Times New Roman"/>
          <w:szCs w:val="24"/>
          <w:lang w:val="en-PH"/>
        </w:rPr>
        <w:t xml:space="preserve">Table 1. Selected plants that are used as </w:t>
      </w:r>
      <w:proofErr w:type="spellStart"/>
      <w:r>
        <w:rPr>
          <w:rFonts w:eastAsia="Calibri" w:cs="Times New Roman"/>
          <w:szCs w:val="24"/>
          <w:lang w:val="en-PH"/>
        </w:rPr>
        <w:t>phytogenics</w:t>
      </w:r>
      <w:proofErr w:type="spellEnd"/>
      <w:r>
        <w:rPr>
          <w:rFonts w:eastAsia="Calibri" w:cs="Times New Roman"/>
          <w:szCs w:val="24"/>
          <w:lang w:val="en-PH"/>
        </w:rPr>
        <w:t xml:space="preserve">, which have effects on the digestive      </w:t>
      </w:r>
    </w:p>
    <w:p w:rsidR="00945347" w:rsidRDefault="00945347" w:rsidP="00945347">
      <w:pPr>
        <w:suppressLineNumbers/>
        <w:spacing w:after="0" w:line="240" w:lineRule="auto"/>
        <w:rPr>
          <w:rFonts w:eastAsia="Calibri" w:cs="Times New Roman"/>
          <w:szCs w:val="24"/>
          <w:lang w:val="en-PH"/>
        </w:rPr>
      </w:pPr>
      <w:r>
        <w:rPr>
          <w:rFonts w:eastAsia="Calibri" w:cs="Times New Roman"/>
          <w:szCs w:val="24"/>
          <w:lang w:val="en-PH"/>
        </w:rPr>
        <w:t xml:space="preserve">             process in animals.</w:t>
      </w:r>
    </w:p>
    <w:p w:rsidR="00945347" w:rsidRDefault="00945347" w:rsidP="00945347">
      <w:pPr>
        <w:suppressLineNumbers/>
        <w:spacing w:after="0" w:line="240" w:lineRule="auto"/>
        <w:rPr>
          <w:rFonts w:eastAsia="Calibri" w:cs="Times New Roman"/>
          <w:szCs w:val="24"/>
          <w:lang w:val="en-PH"/>
        </w:rPr>
      </w:pPr>
    </w:p>
    <w:p w:rsidR="00945347" w:rsidRDefault="00945347" w:rsidP="00945347">
      <w:pPr>
        <w:suppressLineNumbers/>
        <w:spacing w:line="240" w:lineRule="auto"/>
        <w:rPr>
          <w:rFonts w:eastAsia="Calibri" w:cs="Times New Roman"/>
          <w:sz w:val="22"/>
          <w:lang w:val="en-PH"/>
        </w:rPr>
      </w:pPr>
      <w:r>
        <w:rPr>
          <w:rFonts w:eastAsia="Calibri" w:cs="Times New Roman"/>
          <w:noProof/>
          <w:sz w:val="22"/>
          <w:lang w:val="en-PH" w:eastAsia="en-PH"/>
        </w:rPr>
        <w:drawing>
          <wp:inline distT="0" distB="0" distL="0" distR="0" wp14:anchorId="35D8CE97" wp14:editId="597A4202">
            <wp:extent cx="6102985" cy="40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4">
                      <a:extLst>
                        <a:ext uri="{28A0092B-C50C-407E-A947-70E740481C1C}">
                          <a14:useLocalDpi xmlns:a14="http://schemas.microsoft.com/office/drawing/2010/main" val="0"/>
                        </a:ext>
                      </a:extLst>
                    </a:blip>
                    <a:srcRect t="23269" b="16258"/>
                    <a:stretch>
                      <a:fillRect/>
                    </a:stretch>
                  </pic:blipFill>
                  <pic:spPr>
                    <a:xfrm>
                      <a:off x="0" y="0"/>
                      <a:ext cx="6115709" cy="4016764"/>
                    </a:xfrm>
                    <a:prstGeom prst="rect">
                      <a:avLst/>
                    </a:prstGeom>
                    <a:ln>
                      <a:noFill/>
                    </a:ln>
                  </pic:spPr>
                </pic:pic>
              </a:graphicData>
            </a:graphic>
          </wp:inline>
        </w:drawing>
      </w:r>
    </w:p>
    <w:p w:rsidR="00945347" w:rsidRPr="00945347" w:rsidRDefault="00945347" w:rsidP="00945347">
      <w:pPr>
        <w:suppressLineNumbers/>
        <w:spacing w:line="240" w:lineRule="auto"/>
        <w:rPr>
          <w:rFonts w:cs="Times New Roman"/>
          <w:sz w:val="22"/>
        </w:rPr>
      </w:pPr>
      <w:r>
        <w:rPr>
          <w:rFonts w:cs="Times New Roman"/>
          <w:color w:val="FF0000"/>
          <w:sz w:val="22"/>
        </w:rPr>
        <w:t xml:space="preserve">     </w:t>
      </w:r>
      <w:r>
        <w:rPr>
          <w:rFonts w:cs="Times New Roman"/>
          <w:sz w:val="22"/>
        </w:rPr>
        <w:t xml:space="preserve">Adapted from </w:t>
      </w:r>
      <w:proofErr w:type="spellStart"/>
      <w:r>
        <w:rPr>
          <w:rFonts w:cs="Times New Roman"/>
          <w:sz w:val="22"/>
        </w:rPr>
        <w:t>Asimi</w:t>
      </w:r>
      <w:proofErr w:type="spellEnd"/>
      <w:r>
        <w:rPr>
          <w:rFonts w:cs="Times New Roman"/>
          <w:sz w:val="22"/>
        </w:rPr>
        <w:t xml:space="preserve"> and </w:t>
      </w:r>
      <w:proofErr w:type="spellStart"/>
      <w:r>
        <w:rPr>
          <w:rFonts w:cs="Times New Roman"/>
          <w:sz w:val="22"/>
        </w:rPr>
        <w:t>Sahu</w:t>
      </w:r>
      <w:proofErr w:type="spellEnd"/>
      <w:r>
        <w:rPr>
          <w:rFonts w:cs="Times New Roman"/>
          <w:sz w:val="22"/>
        </w:rPr>
        <w:t xml:space="preserve"> (2013).</w:t>
      </w:r>
      <w:bookmarkStart w:id="0" w:name="_GoBack"/>
      <w:bookmarkEnd w:id="0"/>
      <w:r>
        <w:br w:type="page"/>
      </w:r>
    </w:p>
    <w:p w:rsidR="00945347" w:rsidRDefault="00945347" w:rsidP="00945347">
      <w:pPr>
        <w:suppressLineNumbers/>
        <w:spacing w:after="0" w:line="240" w:lineRule="auto"/>
      </w:pPr>
      <w:r>
        <w:lastRenderedPageBreak/>
        <w:t xml:space="preserve">Table 2. Dietary inclusion of </w:t>
      </w:r>
      <w:proofErr w:type="spellStart"/>
      <w:r>
        <w:t>phytogenics</w:t>
      </w:r>
      <w:proofErr w:type="spellEnd"/>
      <w:r>
        <w:t xml:space="preserve"> and its effects on (A) fish gut health and (B) gut  </w:t>
      </w:r>
    </w:p>
    <w:p w:rsidR="00945347" w:rsidRDefault="00945347" w:rsidP="00945347">
      <w:pPr>
        <w:suppressLineNumbers/>
        <w:spacing w:after="0" w:line="240" w:lineRule="auto"/>
      </w:pPr>
      <w:r>
        <w:t xml:space="preserve">             microflora.</w:t>
      </w:r>
    </w:p>
    <w:p w:rsidR="00945347" w:rsidRDefault="00945347" w:rsidP="00945347">
      <w:pPr>
        <w:suppressLineNumbers/>
        <w:spacing w:after="0" w:line="240" w:lineRule="auto"/>
      </w:pPr>
    </w:p>
    <w:p w:rsidR="00945347" w:rsidRDefault="00945347" w:rsidP="00945347">
      <w:pPr>
        <w:suppressLineNumbers/>
        <w:spacing w:line="240" w:lineRule="auto"/>
        <w:rPr>
          <w:rFonts w:cs="Times New Roman"/>
          <w:color w:val="000000"/>
          <w:szCs w:val="24"/>
        </w:rPr>
      </w:pPr>
      <w:r>
        <w:rPr>
          <w:noProof/>
          <w:lang w:val="en-PH" w:eastAsia="en-PH"/>
        </w:rPr>
        <w:drawing>
          <wp:inline distT="0" distB="0" distL="0" distR="0" wp14:anchorId="424327AF" wp14:editId="25564010">
            <wp:extent cx="6131560" cy="68999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5"/>
                    <a:srcRect t="4050"/>
                    <a:stretch>
                      <a:fillRect/>
                    </a:stretch>
                  </pic:blipFill>
                  <pic:spPr>
                    <a:xfrm>
                      <a:off x="0" y="0"/>
                      <a:ext cx="6147672" cy="6918374"/>
                    </a:xfrm>
                    <a:prstGeom prst="rect">
                      <a:avLst/>
                    </a:prstGeom>
                    <a:ln>
                      <a:noFill/>
                    </a:ln>
                  </pic:spPr>
                </pic:pic>
              </a:graphicData>
            </a:graphic>
          </wp:inline>
        </w:drawing>
      </w:r>
    </w:p>
    <w:p w:rsidR="00945347" w:rsidRDefault="00945347" w:rsidP="00945347">
      <w:pPr>
        <w:suppressLineNumbers/>
        <w:spacing w:line="240" w:lineRule="auto"/>
        <w:rPr>
          <w:rFonts w:cs="Times New Roman"/>
          <w:color w:val="000000"/>
          <w:szCs w:val="24"/>
        </w:rPr>
      </w:pPr>
    </w:p>
    <w:p w:rsidR="00945347" w:rsidRDefault="00945347" w:rsidP="00945347">
      <w:pPr>
        <w:suppressLineNumbers/>
      </w:pPr>
    </w:p>
    <w:p w:rsidR="00CC65F4" w:rsidRDefault="00CC65F4">
      <w:pPr>
        <w:suppressLineNumbers/>
        <w:spacing w:after="0"/>
        <w:ind w:left="785" w:hangingChars="327" w:hanging="785"/>
        <w:rPr>
          <w:rFonts w:cs="Times New Roman"/>
          <w:szCs w:val="24"/>
        </w:rPr>
      </w:pPr>
    </w:p>
    <w:p w:rsidR="00CC65F4" w:rsidRDefault="00CC65F4">
      <w:pPr>
        <w:suppressLineNumbers/>
        <w:spacing w:after="0"/>
        <w:ind w:left="785" w:hangingChars="327" w:hanging="785"/>
        <w:rPr>
          <w:rFonts w:cs="Times New Roman"/>
          <w:szCs w:val="24"/>
        </w:rPr>
      </w:pPr>
    </w:p>
    <w:p w:rsidR="00CC65F4" w:rsidRDefault="009F6756" w:rsidP="00945347">
      <w:pPr>
        <w:suppressLineNumbers/>
        <w:spacing w:line="259" w:lineRule="auto"/>
        <w:jc w:val="center"/>
      </w:pPr>
      <w:r>
        <w:br w:type="page"/>
      </w:r>
      <w:r>
        <w:lastRenderedPageBreak/>
        <w:t>FIGURES</w:t>
      </w:r>
    </w:p>
    <w:p w:rsidR="00CC65F4" w:rsidRDefault="009F6756">
      <w:pPr>
        <w:suppressLineNumbers/>
        <w:spacing w:line="240" w:lineRule="auto"/>
        <w:rPr>
          <w:rFonts w:cs="Times New Roman"/>
          <w:szCs w:val="24"/>
        </w:rPr>
      </w:pPr>
      <w:r>
        <w:rPr>
          <w:rFonts w:cs="Times New Roman"/>
          <w:noProof/>
          <w:szCs w:val="24"/>
          <w:lang w:val="en-PH" w:eastAsia="en-PH"/>
        </w:rPr>
        <w:drawing>
          <wp:inline distT="0" distB="0" distL="0" distR="0">
            <wp:extent cx="5727700" cy="28860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6">
                      <a:extLst>
                        <a:ext uri="{28A0092B-C50C-407E-A947-70E740481C1C}">
                          <a14:useLocalDpi xmlns:a14="http://schemas.microsoft.com/office/drawing/2010/main" val="0"/>
                        </a:ext>
                      </a:extLst>
                    </a:blip>
                    <a:srcRect b="32816"/>
                    <a:stretch>
                      <a:fillRect/>
                    </a:stretch>
                  </pic:blipFill>
                  <pic:spPr>
                    <a:xfrm>
                      <a:off x="0" y="0"/>
                      <a:ext cx="5732145" cy="2888315"/>
                    </a:xfrm>
                    <a:prstGeom prst="rect">
                      <a:avLst/>
                    </a:prstGeom>
                    <a:ln>
                      <a:noFill/>
                    </a:ln>
                  </pic:spPr>
                </pic:pic>
              </a:graphicData>
            </a:graphic>
          </wp:inline>
        </w:drawing>
      </w:r>
    </w:p>
    <w:p w:rsidR="00CC65F4" w:rsidRDefault="009F6756">
      <w:pPr>
        <w:suppressLineNumbers/>
        <w:spacing w:after="0" w:line="240" w:lineRule="auto"/>
        <w:jc w:val="left"/>
        <w:rPr>
          <w:rFonts w:cs="Times New Roman"/>
          <w:szCs w:val="24"/>
        </w:rPr>
      </w:pPr>
      <w:r>
        <w:rPr>
          <w:rFonts w:cs="Times New Roman"/>
          <w:szCs w:val="24"/>
        </w:rPr>
        <w:t xml:space="preserve">Figure 1. Possible effects of </w:t>
      </w:r>
      <w:proofErr w:type="spellStart"/>
      <w:r>
        <w:rPr>
          <w:rFonts w:cs="Times New Roman"/>
          <w:szCs w:val="24"/>
        </w:rPr>
        <w:t>phytogenics</w:t>
      </w:r>
      <w:proofErr w:type="spellEnd"/>
      <w:r>
        <w:rPr>
          <w:rFonts w:cs="Times New Roman"/>
          <w:szCs w:val="24"/>
        </w:rPr>
        <w:t xml:space="preserve"> in the gut of fish when used as feed additives.       </w:t>
      </w:r>
    </w:p>
    <w:p w:rsidR="00CC65F4" w:rsidRDefault="009F6756">
      <w:pPr>
        <w:suppressLineNumbers/>
        <w:spacing w:after="0" w:line="240" w:lineRule="auto"/>
        <w:jc w:val="left"/>
        <w:rPr>
          <w:rFonts w:cs="Times New Roman"/>
          <w:szCs w:val="24"/>
        </w:rPr>
      </w:pPr>
      <w:r>
        <w:rPr>
          <w:rFonts w:cs="Times New Roman"/>
          <w:szCs w:val="24"/>
        </w:rPr>
        <w:t xml:space="preserve">               Adapted from Steiner and Syed (2015).</w:t>
      </w: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9F6756">
      <w:pPr>
        <w:suppressLineNumbers/>
        <w:spacing w:line="240" w:lineRule="auto"/>
        <w:jc w:val="left"/>
        <w:rPr>
          <w:rFonts w:cs="Times New Roman"/>
          <w:szCs w:val="24"/>
        </w:rPr>
      </w:pPr>
      <w:r>
        <w:rPr>
          <w:rFonts w:cs="Times New Roman"/>
          <w:noProof/>
          <w:szCs w:val="24"/>
          <w:lang w:val="en-PH" w:eastAsia="en-PH"/>
        </w:rPr>
        <w:lastRenderedPageBreak/>
        <w:drawing>
          <wp:inline distT="0" distB="0" distL="0" distR="0">
            <wp:extent cx="6304915" cy="4433570"/>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7">
                      <a:extLst>
                        <a:ext uri="{28A0092B-C50C-407E-A947-70E740481C1C}">
                          <a14:useLocalDpi xmlns:a14="http://schemas.microsoft.com/office/drawing/2010/main" val="0"/>
                        </a:ext>
                      </a:extLst>
                    </a:blip>
                    <a:srcRect b="11386"/>
                    <a:stretch>
                      <a:fillRect/>
                    </a:stretch>
                  </pic:blipFill>
                  <pic:spPr>
                    <a:xfrm>
                      <a:off x="0" y="0"/>
                      <a:ext cx="6318146" cy="4442947"/>
                    </a:xfrm>
                    <a:prstGeom prst="rect">
                      <a:avLst/>
                    </a:prstGeom>
                    <a:ln>
                      <a:noFill/>
                    </a:ln>
                  </pic:spPr>
                </pic:pic>
              </a:graphicData>
            </a:graphic>
          </wp:inline>
        </w:drawing>
      </w:r>
    </w:p>
    <w:p w:rsidR="00CC65F4" w:rsidRDefault="00CC65F4">
      <w:pPr>
        <w:suppressLineNumbers/>
        <w:spacing w:after="0" w:line="240" w:lineRule="auto"/>
        <w:jc w:val="left"/>
        <w:rPr>
          <w:rFonts w:cs="Times New Roman"/>
          <w:szCs w:val="24"/>
        </w:rPr>
      </w:pPr>
    </w:p>
    <w:p w:rsidR="00CC65F4" w:rsidRDefault="009F6756">
      <w:pPr>
        <w:suppressLineNumbers/>
        <w:spacing w:after="0" w:line="240" w:lineRule="auto"/>
        <w:jc w:val="left"/>
        <w:rPr>
          <w:rFonts w:cs="Times New Roman"/>
          <w:szCs w:val="24"/>
        </w:rPr>
      </w:pPr>
      <w:r>
        <w:rPr>
          <w:rFonts w:cs="Times New Roman"/>
          <w:szCs w:val="24"/>
        </w:rPr>
        <w:t xml:space="preserve">Figure 2. Influence of </w:t>
      </w:r>
      <w:proofErr w:type="spellStart"/>
      <w:r>
        <w:rPr>
          <w:rFonts w:cs="Times New Roman"/>
          <w:szCs w:val="24"/>
        </w:rPr>
        <w:t>phytogenics</w:t>
      </w:r>
      <w:proofErr w:type="spellEnd"/>
      <w:r>
        <w:rPr>
          <w:rFonts w:cs="Times New Roman"/>
          <w:szCs w:val="24"/>
        </w:rPr>
        <w:t xml:space="preserve"> on gut health and gut microflora in fish based from                </w:t>
      </w:r>
      <w:r>
        <w:rPr>
          <w:rFonts w:cs="Times New Roman"/>
          <w:szCs w:val="24"/>
        </w:rPr>
        <w:tab/>
        <w:t>published studies.</w:t>
      </w:r>
    </w:p>
    <w:p w:rsidR="00CC65F4" w:rsidRDefault="00CC65F4">
      <w:pPr>
        <w:suppressLineNumbers/>
        <w:spacing w:line="240" w:lineRule="auto"/>
        <w:jc w:val="left"/>
        <w:rPr>
          <w:rFonts w:cs="Times New Roman"/>
          <w:color w:val="FF0000"/>
          <w:szCs w:val="24"/>
        </w:rPr>
      </w:pPr>
    </w:p>
    <w:p w:rsidR="00CC65F4" w:rsidRDefault="00CC65F4">
      <w:pPr>
        <w:suppressLineNumbers/>
        <w:spacing w:line="240" w:lineRule="auto"/>
        <w:jc w:val="left"/>
        <w:rPr>
          <w:rFonts w:cs="Times New Roman"/>
          <w:szCs w:val="24"/>
        </w:rPr>
      </w:pPr>
    </w:p>
    <w:p w:rsidR="00CC65F4" w:rsidRDefault="00CC65F4">
      <w:pPr>
        <w:suppressLineNumbers/>
        <w:spacing w:line="240" w:lineRule="auto"/>
        <w:jc w:val="left"/>
        <w:rPr>
          <w:rFonts w:cs="Times New Roman"/>
          <w:szCs w:val="24"/>
        </w:rPr>
      </w:pPr>
    </w:p>
    <w:p w:rsidR="00CC65F4" w:rsidRDefault="00CC65F4">
      <w:pPr>
        <w:suppressLineNumbers/>
        <w:spacing w:after="0" w:line="240" w:lineRule="auto"/>
        <w:rPr>
          <w:rFonts w:cs="Times New Roman"/>
          <w:szCs w:val="24"/>
        </w:rPr>
      </w:pPr>
    </w:p>
    <w:p w:rsidR="00CC65F4" w:rsidRDefault="00CC65F4" w:rsidP="00945347">
      <w:pPr>
        <w:suppressLineNumbers/>
        <w:spacing w:line="259" w:lineRule="auto"/>
        <w:jc w:val="left"/>
      </w:pPr>
    </w:p>
    <w:sectPr w:rsidR="00CC65F4" w:rsidSect="00945347">
      <w:footerReference w:type="default" r:id="rId68"/>
      <w:footerReference w:type="first" r:id="rId69"/>
      <w:footnotePr>
        <w:numFmt w:val="chicago"/>
      </w:footnotePr>
      <w:pgSz w:w="11907" w:h="16839"/>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EB" w:rsidRDefault="003A46EB">
      <w:pPr>
        <w:spacing w:after="0" w:line="240" w:lineRule="auto"/>
      </w:pPr>
      <w:r>
        <w:separator/>
      </w:r>
    </w:p>
  </w:endnote>
  <w:endnote w:type="continuationSeparator" w:id="0">
    <w:p w:rsidR="003A46EB" w:rsidRDefault="003A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eiryo">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06765"/>
    </w:sdtPr>
    <w:sdtEndPr>
      <w:rPr>
        <w:rFonts w:cs="Times New Roman"/>
      </w:rPr>
    </w:sdtEndPr>
    <w:sdtContent>
      <w:p w:rsidR="009F6756" w:rsidRDefault="009F6756">
        <w:pPr>
          <w:pStyle w:val="Footer"/>
          <w:jc w:val="right"/>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945347">
          <w:rPr>
            <w:rFonts w:cs="Times New Roman"/>
            <w:noProof/>
          </w:rPr>
          <w:t>25</w:t>
        </w:r>
        <w:r>
          <w:rPr>
            <w:rFonts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06407"/>
    </w:sdtPr>
    <w:sdtEndPr/>
    <w:sdtContent>
      <w:p w:rsidR="009F6756" w:rsidRDefault="009F6756">
        <w:pPr>
          <w:pStyle w:val="Footer"/>
          <w:jc w:val="right"/>
        </w:pPr>
        <w:r>
          <w:fldChar w:fldCharType="begin"/>
        </w:r>
        <w:r>
          <w:instrText xml:space="preserve"> PAGE   \* MERGEFORMAT </w:instrText>
        </w:r>
        <w:r>
          <w:fldChar w:fldCharType="separate"/>
        </w:r>
        <w:r w:rsidR="00945347">
          <w:rPr>
            <w:noProof/>
          </w:rPr>
          <w:t>1</w:t>
        </w:r>
        <w:r>
          <w:fldChar w:fldCharType="end"/>
        </w:r>
      </w:p>
    </w:sdtContent>
  </w:sdt>
  <w:p w:rsidR="009F6756" w:rsidRDefault="009F67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EB" w:rsidRDefault="003A46EB">
      <w:pPr>
        <w:spacing w:after="0" w:line="240" w:lineRule="auto"/>
      </w:pPr>
      <w:r>
        <w:separator/>
      </w:r>
    </w:p>
  </w:footnote>
  <w:footnote w:type="continuationSeparator" w:id="0">
    <w:p w:rsidR="003A46EB" w:rsidRDefault="003A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E1F"/>
    <w:multiLevelType w:val="multilevel"/>
    <w:tmpl w:val="FA7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D0B3D"/>
    <w:multiLevelType w:val="multilevel"/>
    <w:tmpl w:val="90E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57209"/>
    <w:multiLevelType w:val="multilevel"/>
    <w:tmpl w:val="2EC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82B9D"/>
    <w:multiLevelType w:val="multilevel"/>
    <w:tmpl w:val="D1D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153C3"/>
    <w:multiLevelType w:val="multilevel"/>
    <w:tmpl w:val="5424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92D3C"/>
    <w:multiLevelType w:val="multilevel"/>
    <w:tmpl w:val="06A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D1476"/>
    <w:multiLevelType w:val="multilevel"/>
    <w:tmpl w:val="43F4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C6045"/>
    <w:multiLevelType w:val="multilevel"/>
    <w:tmpl w:val="E25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sTQyMzIyMzMyMzFT0lEKTi0uzszPAykwqgUAXK2C8CwAAAA="/>
  </w:docVars>
  <w:rsids>
    <w:rsidRoot w:val="003955BA"/>
    <w:rsid w:val="000017C5"/>
    <w:rsid w:val="00001F62"/>
    <w:rsid w:val="00002055"/>
    <w:rsid w:val="000026EF"/>
    <w:rsid w:val="0000463D"/>
    <w:rsid w:val="00005A82"/>
    <w:rsid w:val="00006BAF"/>
    <w:rsid w:val="00007720"/>
    <w:rsid w:val="00007F4C"/>
    <w:rsid w:val="00012437"/>
    <w:rsid w:val="00013AE9"/>
    <w:rsid w:val="00015161"/>
    <w:rsid w:val="00016149"/>
    <w:rsid w:val="00017872"/>
    <w:rsid w:val="000217C0"/>
    <w:rsid w:val="00024657"/>
    <w:rsid w:val="0002510F"/>
    <w:rsid w:val="0002655E"/>
    <w:rsid w:val="00026AF8"/>
    <w:rsid w:val="00027C6F"/>
    <w:rsid w:val="00030A6F"/>
    <w:rsid w:val="00036D71"/>
    <w:rsid w:val="0004499D"/>
    <w:rsid w:val="000461EA"/>
    <w:rsid w:val="00046C36"/>
    <w:rsid w:val="00046F28"/>
    <w:rsid w:val="00050297"/>
    <w:rsid w:val="00050403"/>
    <w:rsid w:val="0005165E"/>
    <w:rsid w:val="00051C6E"/>
    <w:rsid w:val="0005295D"/>
    <w:rsid w:val="00066FF4"/>
    <w:rsid w:val="00074E12"/>
    <w:rsid w:val="00077B30"/>
    <w:rsid w:val="0008035B"/>
    <w:rsid w:val="0008199E"/>
    <w:rsid w:val="000835AE"/>
    <w:rsid w:val="00090E4E"/>
    <w:rsid w:val="00094F2F"/>
    <w:rsid w:val="00095E87"/>
    <w:rsid w:val="000A689D"/>
    <w:rsid w:val="000A6D11"/>
    <w:rsid w:val="000B0E24"/>
    <w:rsid w:val="000C4AF2"/>
    <w:rsid w:val="000C7F50"/>
    <w:rsid w:val="000D2D7B"/>
    <w:rsid w:val="000D53B7"/>
    <w:rsid w:val="000E0C3B"/>
    <w:rsid w:val="000E275C"/>
    <w:rsid w:val="000E2F3F"/>
    <w:rsid w:val="000E3817"/>
    <w:rsid w:val="000E4181"/>
    <w:rsid w:val="000E52D4"/>
    <w:rsid w:val="000F0FD6"/>
    <w:rsid w:val="000F1BE3"/>
    <w:rsid w:val="000F521A"/>
    <w:rsid w:val="000F740D"/>
    <w:rsid w:val="0010078D"/>
    <w:rsid w:val="00104C6E"/>
    <w:rsid w:val="001139E5"/>
    <w:rsid w:val="00114C50"/>
    <w:rsid w:val="001261E4"/>
    <w:rsid w:val="00126A33"/>
    <w:rsid w:val="00126A3F"/>
    <w:rsid w:val="00130E1B"/>
    <w:rsid w:val="0013266B"/>
    <w:rsid w:val="00132A64"/>
    <w:rsid w:val="00136C74"/>
    <w:rsid w:val="00140627"/>
    <w:rsid w:val="001458A9"/>
    <w:rsid w:val="00146302"/>
    <w:rsid w:val="00147626"/>
    <w:rsid w:val="00154D49"/>
    <w:rsid w:val="00156591"/>
    <w:rsid w:val="00175B2D"/>
    <w:rsid w:val="00176397"/>
    <w:rsid w:val="00176988"/>
    <w:rsid w:val="00176D59"/>
    <w:rsid w:val="0017799C"/>
    <w:rsid w:val="001828CB"/>
    <w:rsid w:val="00184716"/>
    <w:rsid w:val="00186FBA"/>
    <w:rsid w:val="001870E8"/>
    <w:rsid w:val="00187669"/>
    <w:rsid w:val="0019068B"/>
    <w:rsid w:val="00196DA5"/>
    <w:rsid w:val="001A6F29"/>
    <w:rsid w:val="001B0795"/>
    <w:rsid w:val="001C4072"/>
    <w:rsid w:val="001C4D5D"/>
    <w:rsid w:val="001D1E4F"/>
    <w:rsid w:val="001D2347"/>
    <w:rsid w:val="001D27FA"/>
    <w:rsid w:val="001D51E4"/>
    <w:rsid w:val="001D79FC"/>
    <w:rsid w:val="001E4556"/>
    <w:rsid w:val="001E4BBB"/>
    <w:rsid w:val="002032A6"/>
    <w:rsid w:val="00207039"/>
    <w:rsid w:val="00210587"/>
    <w:rsid w:val="00223D44"/>
    <w:rsid w:val="0022649D"/>
    <w:rsid w:val="002302AA"/>
    <w:rsid w:val="002315E9"/>
    <w:rsid w:val="00252525"/>
    <w:rsid w:val="002553CD"/>
    <w:rsid w:val="00257544"/>
    <w:rsid w:val="00264C86"/>
    <w:rsid w:val="00273A76"/>
    <w:rsid w:val="00274BDE"/>
    <w:rsid w:val="00275587"/>
    <w:rsid w:val="002768D2"/>
    <w:rsid w:val="0029457A"/>
    <w:rsid w:val="002A0228"/>
    <w:rsid w:val="002A2227"/>
    <w:rsid w:val="002B438A"/>
    <w:rsid w:val="002B68FF"/>
    <w:rsid w:val="002C4336"/>
    <w:rsid w:val="002D4868"/>
    <w:rsid w:val="002D7364"/>
    <w:rsid w:val="002F31A0"/>
    <w:rsid w:val="002F5800"/>
    <w:rsid w:val="002F7DDC"/>
    <w:rsid w:val="00303A49"/>
    <w:rsid w:val="00303BEF"/>
    <w:rsid w:val="003061AD"/>
    <w:rsid w:val="003063DF"/>
    <w:rsid w:val="003074FC"/>
    <w:rsid w:val="003122C9"/>
    <w:rsid w:val="00312E4B"/>
    <w:rsid w:val="0031327E"/>
    <w:rsid w:val="00315F99"/>
    <w:rsid w:val="00323FFA"/>
    <w:rsid w:val="0032645A"/>
    <w:rsid w:val="003272A7"/>
    <w:rsid w:val="00327DB4"/>
    <w:rsid w:val="00330FE6"/>
    <w:rsid w:val="0033148B"/>
    <w:rsid w:val="00331B3F"/>
    <w:rsid w:val="00335BCD"/>
    <w:rsid w:val="0034052E"/>
    <w:rsid w:val="003466A7"/>
    <w:rsid w:val="00352B7A"/>
    <w:rsid w:val="00354622"/>
    <w:rsid w:val="0035745E"/>
    <w:rsid w:val="00360758"/>
    <w:rsid w:val="003616E3"/>
    <w:rsid w:val="0036276E"/>
    <w:rsid w:val="00364F30"/>
    <w:rsid w:val="00364F76"/>
    <w:rsid w:val="00370ED9"/>
    <w:rsid w:val="003713D8"/>
    <w:rsid w:val="00372ABB"/>
    <w:rsid w:val="003735F6"/>
    <w:rsid w:val="0037428A"/>
    <w:rsid w:val="00377F70"/>
    <w:rsid w:val="00381E3E"/>
    <w:rsid w:val="003829B6"/>
    <w:rsid w:val="00385436"/>
    <w:rsid w:val="00385B97"/>
    <w:rsid w:val="00390262"/>
    <w:rsid w:val="00392607"/>
    <w:rsid w:val="00394AD9"/>
    <w:rsid w:val="003955BA"/>
    <w:rsid w:val="003A1147"/>
    <w:rsid w:val="003A18C3"/>
    <w:rsid w:val="003A2F48"/>
    <w:rsid w:val="003A46EB"/>
    <w:rsid w:val="003A6D4E"/>
    <w:rsid w:val="003A7C5D"/>
    <w:rsid w:val="003B2520"/>
    <w:rsid w:val="003B2D67"/>
    <w:rsid w:val="003C1613"/>
    <w:rsid w:val="003C3A5E"/>
    <w:rsid w:val="003C6C5C"/>
    <w:rsid w:val="003D1DB9"/>
    <w:rsid w:val="003D3BD4"/>
    <w:rsid w:val="003D4D51"/>
    <w:rsid w:val="003D541A"/>
    <w:rsid w:val="003D67E6"/>
    <w:rsid w:val="003E0CA9"/>
    <w:rsid w:val="003E0E66"/>
    <w:rsid w:val="003E5B86"/>
    <w:rsid w:val="003F3132"/>
    <w:rsid w:val="004044C9"/>
    <w:rsid w:val="00405D7C"/>
    <w:rsid w:val="00407571"/>
    <w:rsid w:val="004127F6"/>
    <w:rsid w:val="00415F70"/>
    <w:rsid w:val="00416D58"/>
    <w:rsid w:val="00422086"/>
    <w:rsid w:val="004266CB"/>
    <w:rsid w:val="00426872"/>
    <w:rsid w:val="00426CD4"/>
    <w:rsid w:val="00431573"/>
    <w:rsid w:val="00431D59"/>
    <w:rsid w:val="00432B0D"/>
    <w:rsid w:val="004339E8"/>
    <w:rsid w:val="00440B55"/>
    <w:rsid w:val="0045155C"/>
    <w:rsid w:val="004547F1"/>
    <w:rsid w:val="00454CD9"/>
    <w:rsid w:val="00456F2E"/>
    <w:rsid w:val="004604C0"/>
    <w:rsid w:val="0046160C"/>
    <w:rsid w:val="00461A97"/>
    <w:rsid w:val="00461D22"/>
    <w:rsid w:val="00465BB2"/>
    <w:rsid w:val="004663A7"/>
    <w:rsid w:val="00467BE7"/>
    <w:rsid w:val="00473C0B"/>
    <w:rsid w:val="00477AA4"/>
    <w:rsid w:val="00481CFE"/>
    <w:rsid w:val="004923DE"/>
    <w:rsid w:val="00495BEF"/>
    <w:rsid w:val="004A22BC"/>
    <w:rsid w:val="004A35D9"/>
    <w:rsid w:val="004A4410"/>
    <w:rsid w:val="004A4A67"/>
    <w:rsid w:val="004A4BA3"/>
    <w:rsid w:val="004A5853"/>
    <w:rsid w:val="004A74E3"/>
    <w:rsid w:val="004B3F0C"/>
    <w:rsid w:val="004B5412"/>
    <w:rsid w:val="004B583B"/>
    <w:rsid w:val="004B7BFE"/>
    <w:rsid w:val="004C03C0"/>
    <w:rsid w:val="004C4A7D"/>
    <w:rsid w:val="004D3F1B"/>
    <w:rsid w:val="004D7415"/>
    <w:rsid w:val="004E0CD2"/>
    <w:rsid w:val="004E57FC"/>
    <w:rsid w:val="004E6D12"/>
    <w:rsid w:val="004F1FC2"/>
    <w:rsid w:val="004F4184"/>
    <w:rsid w:val="005002E0"/>
    <w:rsid w:val="00502FBE"/>
    <w:rsid w:val="00511E2B"/>
    <w:rsid w:val="00522EF0"/>
    <w:rsid w:val="00526A9D"/>
    <w:rsid w:val="00527766"/>
    <w:rsid w:val="00530C08"/>
    <w:rsid w:val="00531240"/>
    <w:rsid w:val="0053231C"/>
    <w:rsid w:val="0053237F"/>
    <w:rsid w:val="00547BBB"/>
    <w:rsid w:val="0056185E"/>
    <w:rsid w:val="00562755"/>
    <w:rsid w:val="0057252C"/>
    <w:rsid w:val="00573067"/>
    <w:rsid w:val="0057598B"/>
    <w:rsid w:val="00576D1B"/>
    <w:rsid w:val="00580A7C"/>
    <w:rsid w:val="0058161C"/>
    <w:rsid w:val="005818BB"/>
    <w:rsid w:val="00586287"/>
    <w:rsid w:val="005876A6"/>
    <w:rsid w:val="00587990"/>
    <w:rsid w:val="0059105F"/>
    <w:rsid w:val="005A29E0"/>
    <w:rsid w:val="005B08DE"/>
    <w:rsid w:val="005B77A5"/>
    <w:rsid w:val="005D28C6"/>
    <w:rsid w:val="005D4F0C"/>
    <w:rsid w:val="005D6084"/>
    <w:rsid w:val="005D6500"/>
    <w:rsid w:val="005D6F35"/>
    <w:rsid w:val="005E389C"/>
    <w:rsid w:val="005E4D9D"/>
    <w:rsid w:val="005E530E"/>
    <w:rsid w:val="005E7516"/>
    <w:rsid w:val="005E7853"/>
    <w:rsid w:val="00604207"/>
    <w:rsid w:val="00615121"/>
    <w:rsid w:val="00623A0D"/>
    <w:rsid w:val="00624833"/>
    <w:rsid w:val="00625F35"/>
    <w:rsid w:val="00630B80"/>
    <w:rsid w:val="006313CF"/>
    <w:rsid w:val="006313E5"/>
    <w:rsid w:val="00635D1F"/>
    <w:rsid w:val="00636663"/>
    <w:rsid w:val="00655923"/>
    <w:rsid w:val="00657874"/>
    <w:rsid w:val="006662FB"/>
    <w:rsid w:val="006745D1"/>
    <w:rsid w:val="0068469A"/>
    <w:rsid w:val="0069070F"/>
    <w:rsid w:val="00693DD0"/>
    <w:rsid w:val="00693F04"/>
    <w:rsid w:val="00697F0F"/>
    <w:rsid w:val="006A5CF6"/>
    <w:rsid w:val="006A7F83"/>
    <w:rsid w:val="006B0E9F"/>
    <w:rsid w:val="006B596C"/>
    <w:rsid w:val="006C35B8"/>
    <w:rsid w:val="006C65AD"/>
    <w:rsid w:val="006D16D3"/>
    <w:rsid w:val="006D5CEF"/>
    <w:rsid w:val="006E3682"/>
    <w:rsid w:val="006E3FC6"/>
    <w:rsid w:val="006E7B7E"/>
    <w:rsid w:val="006F26BB"/>
    <w:rsid w:val="00701BF2"/>
    <w:rsid w:val="0070242E"/>
    <w:rsid w:val="007025D0"/>
    <w:rsid w:val="00710181"/>
    <w:rsid w:val="007118DE"/>
    <w:rsid w:val="00711CF7"/>
    <w:rsid w:val="0072137E"/>
    <w:rsid w:val="00721A1F"/>
    <w:rsid w:val="00721A82"/>
    <w:rsid w:val="007273FA"/>
    <w:rsid w:val="00733105"/>
    <w:rsid w:val="007358AD"/>
    <w:rsid w:val="0074603F"/>
    <w:rsid w:val="0074681F"/>
    <w:rsid w:val="00747D78"/>
    <w:rsid w:val="00751569"/>
    <w:rsid w:val="00751E5E"/>
    <w:rsid w:val="00754D1C"/>
    <w:rsid w:val="007603A2"/>
    <w:rsid w:val="00764771"/>
    <w:rsid w:val="007672BF"/>
    <w:rsid w:val="00770E21"/>
    <w:rsid w:val="00771D7F"/>
    <w:rsid w:val="00772556"/>
    <w:rsid w:val="007735F7"/>
    <w:rsid w:val="0077460C"/>
    <w:rsid w:val="00775490"/>
    <w:rsid w:val="00786982"/>
    <w:rsid w:val="007919FF"/>
    <w:rsid w:val="00797522"/>
    <w:rsid w:val="007A0E85"/>
    <w:rsid w:val="007A3D09"/>
    <w:rsid w:val="007A696C"/>
    <w:rsid w:val="007B2241"/>
    <w:rsid w:val="007C3D5B"/>
    <w:rsid w:val="007C5A5A"/>
    <w:rsid w:val="007C65C3"/>
    <w:rsid w:val="007C6CF3"/>
    <w:rsid w:val="007D673D"/>
    <w:rsid w:val="007E09E4"/>
    <w:rsid w:val="007E53CF"/>
    <w:rsid w:val="007E587A"/>
    <w:rsid w:val="007E73DA"/>
    <w:rsid w:val="007F0325"/>
    <w:rsid w:val="007F4E47"/>
    <w:rsid w:val="00801347"/>
    <w:rsid w:val="00801F4C"/>
    <w:rsid w:val="00806AC2"/>
    <w:rsid w:val="00811C0C"/>
    <w:rsid w:val="00812434"/>
    <w:rsid w:val="00813CE7"/>
    <w:rsid w:val="008147B1"/>
    <w:rsid w:val="008228EC"/>
    <w:rsid w:val="00822EA5"/>
    <w:rsid w:val="00824C9D"/>
    <w:rsid w:val="008376F1"/>
    <w:rsid w:val="0084183D"/>
    <w:rsid w:val="008442DE"/>
    <w:rsid w:val="0085242D"/>
    <w:rsid w:val="00860232"/>
    <w:rsid w:val="00866C9F"/>
    <w:rsid w:val="00870077"/>
    <w:rsid w:val="00871BB5"/>
    <w:rsid w:val="008802C5"/>
    <w:rsid w:val="008817C7"/>
    <w:rsid w:val="008872E4"/>
    <w:rsid w:val="00892FB8"/>
    <w:rsid w:val="008A1E1E"/>
    <w:rsid w:val="008A32C2"/>
    <w:rsid w:val="008B0E36"/>
    <w:rsid w:val="008B1070"/>
    <w:rsid w:val="008B29A3"/>
    <w:rsid w:val="008B63A6"/>
    <w:rsid w:val="008C4DED"/>
    <w:rsid w:val="008D3128"/>
    <w:rsid w:val="008D3C18"/>
    <w:rsid w:val="008D7F0A"/>
    <w:rsid w:val="008E2D80"/>
    <w:rsid w:val="008F245B"/>
    <w:rsid w:val="008F5AE3"/>
    <w:rsid w:val="008F6AF9"/>
    <w:rsid w:val="00914381"/>
    <w:rsid w:val="00916A56"/>
    <w:rsid w:val="00916EE1"/>
    <w:rsid w:val="009228C0"/>
    <w:rsid w:val="009279C0"/>
    <w:rsid w:val="00934C43"/>
    <w:rsid w:val="0093528D"/>
    <w:rsid w:val="00945347"/>
    <w:rsid w:val="00946B71"/>
    <w:rsid w:val="00947566"/>
    <w:rsid w:val="00947F5A"/>
    <w:rsid w:val="00951EC1"/>
    <w:rsid w:val="00952883"/>
    <w:rsid w:val="00952CF2"/>
    <w:rsid w:val="0096380F"/>
    <w:rsid w:val="009658E8"/>
    <w:rsid w:val="00966785"/>
    <w:rsid w:val="009712EE"/>
    <w:rsid w:val="00971CAB"/>
    <w:rsid w:val="009726DB"/>
    <w:rsid w:val="00973C18"/>
    <w:rsid w:val="00975A6D"/>
    <w:rsid w:val="00982460"/>
    <w:rsid w:val="00986DB1"/>
    <w:rsid w:val="009875B7"/>
    <w:rsid w:val="00987729"/>
    <w:rsid w:val="0099178E"/>
    <w:rsid w:val="009919A6"/>
    <w:rsid w:val="00992D4C"/>
    <w:rsid w:val="00993132"/>
    <w:rsid w:val="00994B3F"/>
    <w:rsid w:val="009A153C"/>
    <w:rsid w:val="009A789F"/>
    <w:rsid w:val="009B1BC9"/>
    <w:rsid w:val="009B257E"/>
    <w:rsid w:val="009B4578"/>
    <w:rsid w:val="009B4581"/>
    <w:rsid w:val="009B5A22"/>
    <w:rsid w:val="009B79AA"/>
    <w:rsid w:val="009C4348"/>
    <w:rsid w:val="009D479E"/>
    <w:rsid w:val="009E1A5C"/>
    <w:rsid w:val="009E37FF"/>
    <w:rsid w:val="009E3972"/>
    <w:rsid w:val="009E582E"/>
    <w:rsid w:val="009F0947"/>
    <w:rsid w:val="009F32CA"/>
    <w:rsid w:val="009F6756"/>
    <w:rsid w:val="00A040E0"/>
    <w:rsid w:val="00A06A8C"/>
    <w:rsid w:val="00A111D9"/>
    <w:rsid w:val="00A16DE4"/>
    <w:rsid w:val="00A3209F"/>
    <w:rsid w:val="00A33920"/>
    <w:rsid w:val="00A34B40"/>
    <w:rsid w:val="00A422D7"/>
    <w:rsid w:val="00A42D6D"/>
    <w:rsid w:val="00A52740"/>
    <w:rsid w:val="00A60330"/>
    <w:rsid w:val="00A65C7E"/>
    <w:rsid w:val="00A66AAE"/>
    <w:rsid w:val="00A71345"/>
    <w:rsid w:val="00A759FA"/>
    <w:rsid w:val="00A87E7C"/>
    <w:rsid w:val="00A97915"/>
    <w:rsid w:val="00AA03B9"/>
    <w:rsid w:val="00AA2445"/>
    <w:rsid w:val="00AB5546"/>
    <w:rsid w:val="00AB557E"/>
    <w:rsid w:val="00AB607D"/>
    <w:rsid w:val="00AC2527"/>
    <w:rsid w:val="00AC265C"/>
    <w:rsid w:val="00AC2B03"/>
    <w:rsid w:val="00AC387F"/>
    <w:rsid w:val="00AC4B91"/>
    <w:rsid w:val="00AD2331"/>
    <w:rsid w:val="00AD4426"/>
    <w:rsid w:val="00AE1EF5"/>
    <w:rsid w:val="00AE2542"/>
    <w:rsid w:val="00AE2E2E"/>
    <w:rsid w:val="00AE37B4"/>
    <w:rsid w:val="00AE4041"/>
    <w:rsid w:val="00AE7360"/>
    <w:rsid w:val="00AF5643"/>
    <w:rsid w:val="00AF72D4"/>
    <w:rsid w:val="00B03AD0"/>
    <w:rsid w:val="00B13247"/>
    <w:rsid w:val="00B23F1D"/>
    <w:rsid w:val="00B2693D"/>
    <w:rsid w:val="00B31778"/>
    <w:rsid w:val="00B3493E"/>
    <w:rsid w:val="00B3544D"/>
    <w:rsid w:val="00B41675"/>
    <w:rsid w:val="00B601E6"/>
    <w:rsid w:val="00B64E08"/>
    <w:rsid w:val="00B74719"/>
    <w:rsid w:val="00B74B40"/>
    <w:rsid w:val="00B7600A"/>
    <w:rsid w:val="00B76CA9"/>
    <w:rsid w:val="00B8311A"/>
    <w:rsid w:val="00B85A57"/>
    <w:rsid w:val="00B86085"/>
    <w:rsid w:val="00B87246"/>
    <w:rsid w:val="00B907BD"/>
    <w:rsid w:val="00B90972"/>
    <w:rsid w:val="00B9378B"/>
    <w:rsid w:val="00B94651"/>
    <w:rsid w:val="00BA2F26"/>
    <w:rsid w:val="00BA652A"/>
    <w:rsid w:val="00BB2F1A"/>
    <w:rsid w:val="00BB338F"/>
    <w:rsid w:val="00BC0E44"/>
    <w:rsid w:val="00BC1236"/>
    <w:rsid w:val="00BC3667"/>
    <w:rsid w:val="00BC657E"/>
    <w:rsid w:val="00BC7098"/>
    <w:rsid w:val="00BD0F00"/>
    <w:rsid w:val="00BD2478"/>
    <w:rsid w:val="00BD450E"/>
    <w:rsid w:val="00BD5B93"/>
    <w:rsid w:val="00BD61A7"/>
    <w:rsid w:val="00BE34E6"/>
    <w:rsid w:val="00BE534F"/>
    <w:rsid w:val="00BE5A2D"/>
    <w:rsid w:val="00BE6339"/>
    <w:rsid w:val="00BF4B48"/>
    <w:rsid w:val="00BF70D9"/>
    <w:rsid w:val="00BF7674"/>
    <w:rsid w:val="00C0609B"/>
    <w:rsid w:val="00C1281B"/>
    <w:rsid w:val="00C27237"/>
    <w:rsid w:val="00C3578E"/>
    <w:rsid w:val="00C43678"/>
    <w:rsid w:val="00C45A7F"/>
    <w:rsid w:val="00C530D1"/>
    <w:rsid w:val="00C601CD"/>
    <w:rsid w:val="00C6059E"/>
    <w:rsid w:val="00C61283"/>
    <w:rsid w:val="00C64BDA"/>
    <w:rsid w:val="00C74FF1"/>
    <w:rsid w:val="00C7542B"/>
    <w:rsid w:val="00C75BFD"/>
    <w:rsid w:val="00C76080"/>
    <w:rsid w:val="00C844B9"/>
    <w:rsid w:val="00C873BF"/>
    <w:rsid w:val="00C91728"/>
    <w:rsid w:val="00C97421"/>
    <w:rsid w:val="00CA3D75"/>
    <w:rsid w:val="00CB18B8"/>
    <w:rsid w:val="00CB3460"/>
    <w:rsid w:val="00CB5CE4"/>
    <w:rsid w:val="00CB652E"/>
    <w:rsid w:val="00CC02C3"/>
    <w:rsid w:val="00CC3E52"/>
    <w:rsid w:val="00CC4D43"/>
    <w:rsid w:val="00CC64A8"/>
    <w:rsid w:val="00CC65F4"/>
    <w:rsid w:val="00CC7442"/>
    <w:rsid w:val="00CD3055"/>
    <w:rsid w:val="00CD5819"/>
    <w:rsid w:val="00CE1A16"/>
    <w:rsid w:val="00CE212F"/>
    <w:rsid w:val="00CF1BD4"/>
    <w:rsid w:val="00D03A17"/>
    <w:rsid w:val="00D05602"/>
    <w:rsid w:val="00D05961"/>
    <w:rsid w:val="00D07EE3"/>
    <w:rsid w:val="00D105F6"/>
    <w:rsid w:val="00D114FC"/>
    <w:rsid w:val="00D11F15"/>
    <w:rsid w:val="00D16090"/>
    <w:rsid w:val="00D16B71"/>
    <w:rsid w:val="00D26128"/>
    <w:rsid w:val="00D276C2"/>
    <w:rsid w:val="00D32014"/>
    <w:rsid w:val="00D32179"/>
    <w:rsid w:val="00D33130"/>
    <w:rsid w:val="00D40276"/>
    <w:rsid w:val="00D40468"/>
    <w:rsid w:val="00D43CAC"/>
    <w:rsid w:val="00D44EF4"/>
    <w:rsid w:val="00D57C0E"/>
    <w:rsid w:val="00D61156"/>
    <w:rsid w:val="00D64E0C"/>
    <w:rsid w:val="00D75FD1"/>
    <w:rsid w:val="00D81F0C"/>
    <w:rsid w:val="00D82E85"/>
    <w:rsid w:val="00D85487"/>
    <w:rsid w:val="00D901B8"/>
    <w:rsid w:val="00DA2337"/>
    <w:rsid w:val="00DA6172"/>
    <w:rsid w:val="00DB30DE"/>
    <w:rsid w:val="00DB4D41"/>
    <w:rsid w:val="00DB7573"/>
    <w:rsid w:val="00DC1AF5"/>
    <w:rsid w:val="00DC5B9F"/>
    <w:rsid w:val="00DD0F7B"/>
    <w:rsid w:val="00DD291C"/>
    <w:rsid w:val="00DD4417"/>
    <w:rsid w:val="00DD47C1"/>
    <w:rsid w:val="00DD5DA8"/>
    <w:rsid w:val="00DE1349"/>
    <w:rsid w:val="00DE1436"/>
    <w:rsid w:val="00DE1DAC"/>
    <w:rsid w:val="00DE4740"/>
    <w:rsid w:val="00DE6D8C"/>
    <w:rsid w:val="00DE7159"/>
    <w:rsid w:val="00DF2F40"/>
    <w:rsid w:val="00E133A8"/>
    <w:rsid w:val="00E14D03"/>
    <w:rsid w:val="00E17C6F"/>
    <w:rsid w:val="00E23C36"/>
    <w:rsid w:val="00E25B22"/>
    <w:rsid w:val="00E268F0"/>
    <w:rsid w:val="00E30F1A"/>
    <w:rsid w:val="00E3224C"/>
    <w:rsid w:val="00E336C6"/>
    <w:rsid w:val="00E3413F"/>
    <w:rsid w:val="00E35E44"/>
    <w:rsid w:val="00E36D71"/>
    <w:rsid w:val="00E3721D"/>
    <w:rsid w:val="00E41D6A"/>
    <w:rsid w:val="00E446EF"/>
    <w:rsid w:val="00E4599F"/>
    <w:rsid w:val="00E45CFB"/>
    <w:rsid w:val="00E52CF9"/>
    <w:rsid w:val="00E54A0B"/>
    <w:rsid w:val="00E56B42"/>
    <w:rsid w:val="00E6383D"/>
    <w:rsid w:val="00E73F31"/>
    <w:rsid w:val="00E77ADC"/>
    <w:rsid w:val="00E863A4"/>
    <w:rsid w:val="00E900E2"/>
    <w:rsid w:val="00E92D60"/>
    <w:rsid w:val="00E94E07"/>
    <w:rsid w:val="00E95471"/>
    <w:rsid w:val="00EA4439"/>
    <w:rsid w:val="00EB175A"/>
    <w:rsid w:val="00EB591E"/>
    <w:rsid w:val="00EC3AEC"/>
    <w:rsid w:val="00EC67EF"/>
    <w:rsid w:val="00ED0D9B"/>
    <w:rsid w:val="00ED300D"/>
    <w:rsid w:val="00ED3DA5"/>
    <w:rsid w:val="00ED435C"/>
    <w:rsid w:val="00ED4401"/>
    <w:rsid w:val="00ED7B03"/>
    <w:rsid w:val="00EE088C"/>
    <w:rsid w:val="00EE3BCD"/>
    <w:rsid w:val="00EE7531"/>
    <w:rsid w:val="00EF0074"/>
    <w:rsid w:val="00EF0AFE"/>
    <w:rsid w:val="00EF268E"/>
    <w:rsid w:val="00EF7C69"/>
    <w:rsid w:val="00F037EC"/>
    <w:rsid w:val="00F057E7"/>
    <w:rsid w:val="00F10B21"/>
    <w:rsid w:val="00F10FBD"/>
    <w:rsid w:val="00F121FD"/>
    <w:rsid w:val="00F13679"/>
    <w:rsid w:val="00F14D6D"/>
    <w:rsid w:val="00F15D08"/>
    <w:rsid w:val="00F166AB"/>
    <w:rsid w:val="00F20B5C"/>
    <w:rsid w:val="00F214F7"/>
    <w:rsid w:val="00F22A2A"/>
    <w:rsid w:val="00F24181"/>
    <w:rsid w:val="00F30443"/>
    <w:rsid w:val="00F32C8D"/>
    <w:rsid w:val="00F37675"/>
    <w:rsid w:val="00F54BEA"/>
    <w:rsid w:val="00F56F64"/>
    <w:rsid w:val="00F609FE"/>
    <w:rsid w:val="00F61412"/>
    <w:rsid w:val="00F72703"/>
    <w:rsid w:val="00F7296A"/>
    <w:rsid w:val="00F73809"/>
    <w:rsid w:val="00F7487F"/>
    <w:rsid w:val="00F752A7"/>
    <w:rsid w:val="00F774AA"/>
    <w:rsid w:val="00F82163"/>
    <w:rsid w:val="00F82E8A"/>
    <w:rsid w:val="00F84EDF"/>
    <w:rsid w:val="00F92E4B"/>
    <w:rsid w:val="00F94994"/>
    <w:rsid w:val="00FA1258"/>
    <w:rsid w:val="00FA15FD"/>
    <w:rsid w:val="00FA428D"/>
    <w:rsid w:val="00FA58F2"/>
    <w:rsid w:val="00FA736C"/>
    <w:rsid w:val="00FB0F16"/>
    <w:rsid w:val="00FB3788"/>
    <w:rsid w:val="00FB4662"/>
    <w:rsid w:val="00FB631B"/>
    <w:rsid w:val="00FC14C3"/>
    <w:rsid w:val="00FC19D1"/>
    <w:rsid w:val="00FC32BE"/>
    <w:rsid w:val="00FC5F58"/>
    <w:rsid w:val="00FD367B"/>
    <w:rsid w:val="00FD476A"/>
    <w:rsid w:val="00FD637F"/>
    <w:rsid w:val="00FE2CBC"/>
    <w:rsid w:val="00FF07C1"/>
    <w:rsid w:val="00FF1178"/>
    <w:rsid w:val="1C881B5D"/>
    <w:rsid w:val="36A513DD"/>
    <w:rsid w:val="42887549"/>
    <w:rsid w:val="5E383ED8"/>
    <w:rsid w:val="77FA204C"/>
    <w:rsid w:val="7F994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4D4"/>
  <w15:docId w15:val="{0A436A31-F1E9-4A76-A08E-2CA0274C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jc w:val="both"/>
    </w:pPr>
    <w:rPr>
      <w:rFonts w:ascii="Times New Roman" w:hAnsi="Times New Roman"/>
      <w:sz w:val="24"/>
      <w:szCs w:val="22"/>
    </w:rPr>
  </w:style>
  <w:style w:type="paragraph" w:styleId="Heading4">
    <w:name w:val="heading 4"/>
    <w:basedOn w:val="Normal"/>
    <w:link w:val="Heading4Char"/>
    <w:uiPriority w:val="9"/>
    <w:qFormat/>
    <w:rsid w:val="009B5A22"/>
    <w:pPr>
      <w:spacing w:before="100" w:beforeAutospacing="1" w:after="100" w:afterAutospacing="1" w:line="240" w:lineRule="auto"/>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0" w:line="240" w:lineRule="auto"/>
      <w:jc w:val="center"/>
    </w:pPr>
    <w:rPr>
      <w:rFonts w:ascii="Arial" w:hAnsi="Arial"/>
      <w:iCs/>
      <w:color w:val="7F7F7F" w:themeColor="text1" w:themeTint="80"/>
      <w:sz w:val="20"/>
      <w:szCs w:val="18"/>
      <w:lang w:val="en-PH"/>
    </w:rPr>
  </w:style>
  <w:style w:type="paragraph" w:styleId="CommentText">
    <w:name w:val="annotation text"/>
    <w:basedOn w:val="Normal"/>
    <w:uiPriority w:val="99"/>
    <w:semiHidden/>
    <w:unhideWhenUsed/>
    <w:pPr>
      <w:jc w:val="left"/>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pPr>
      <w:spacing w:after="0" w:line="240" w:lineRule="auto"/>
    </w:pPr>
    <w:rPr>
      <w:rFonts w:ascii="Calibri" w:eastAsia="MS Mincho" w:hAnsi="Calibri" w:cs="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PlainTable21">
    <w:name w:val="Plain Table 21"/>
    <w:basedOn w:val="TableNormal"/>
    <w:uiPriority w:val="42"/>
    <w:qFormat/>
    <w:pPr>
      <w:spacing w:after="0" w:line="240" w:lineRule="auto"/>
    </w:p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Bibliography1">
    <w:name w:val="Bibliography1"/>
    <w:basedOn w:val="Normal"/>
    <w:next w:val="Normal"/>
    <w:uiPriority w:val="37"/>
    <w:unhideWhenUsed/>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TableGrid1">
    <w:name w:val="Table Grid1"/>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identifier">
    <w:name w:val="identifier"/>
    <w:basedOn w:val="DefaultParagraphFont"/>
    <w:rsid w:val="009B5A22"/>
  </w:style>
  <w:style w:type="character" w:customStyle="1" w:styleId="Heading4Char">
    <w:name w:val="Heading 4 Char"/>
    <w:basedOn w:val="DefaultParagraphFont"/>
    <w:link w:val="Heading4"/>
    <w:uiPriority w:val="9"/>
    <w:rsid w:val="009B5A2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75236">
      <w:bodyDiv w:val="1"/>
      <w:marLeft w:val="0"/>
      <w:marRight w:val="0"/>
      <w:marTop w:val="0"/>
      <w:marBottom w:val="0"/>
      <w:divBdr>
        <w:top w:val="none" w:sz="0" w:space="0" w:color="auto"/>
        <w:left w:val="none" w:sz="0" w:space="0" w:color="auto"/>
        <w:bottom w:val="none" w:sz="0" w:space="0" w:color="auto"/>
        <w:right w:val="none" w:sz="0" w:space="0" w:color="auto"/>
      </w:divBdr>
    </w:div>
    <w:div w:id="437456248">
      <w:bodyDiv w:val="1"/>
      <w:marLeft w:val="0"/>
      <w:marRight w:val="0"/>
      <w:marTop w:val="0"/>
      <w:marBottom w:val="0"/>
      <w:divBdr>
        <w:top w:val="none" w:sz="0" w:space="0" w:color="auto"/>
        <w:left w:val="none" w:sz="0" w:space="0" w:color="auto"/>
        <w:bottom w:val="none" w:sz="0" w:space="0" w:color="auto"/>
        <w:right w:val="none" w:sz="0" w:space="0" w:color="auto"/>
      </w:divBdr>
    </w:div>
    <w:div w:id="749279498">
      <w:bodyDiv w:val="1"/>
      <w:marLeft w:val="0"/>
      <w:marRight w:val="0"/>
      <w:marTop w:val="0"/>
      <w:marBottom w:val="0"/>
      <w:divBdr>
        <w:top w:val="none" w:sz="0" w:space="0" w:color="auto"/>
        <w:left w:val="none" w:sz="0" w:space="0" w:color="auto"/>
        <w:bottom w:val="none" w:sz="0" w:space="0" w:color="auto"/>
        <w:right w:val="none" w:sz="0" w:space="0" w:color="auto"/>
      </w:divBdr>
    </w:div>
    <w:div w:id="969898538">
      <w:bodyDiv w:val="1"/>
      <w:marLeft w:val="0"/>
      <w:marRight w:val="0"/>
      <w:marTop w:val="0"/>
      <w:marBottom w:val="0"/>
      <w:divBdr>
        <w:top w:val="none" w:sz="0" w:space="0" w:color="auto"/>
        <w:left w:val="none" w:sz="0" w:space="0" w:color="auto"/>
        <w:bottom w:val="none" w:sz="0" w:space="0" w:color="auto"/>
        <w:right w:val="none" w:sz="0" w:space="0" w:color="auto"/>
      </w:divBdr>
    </w:div>
    <w:div w:id="1082024323">
      <w:bodyDiv w:val="1"/>
      <w:marLeft w:val="0"/>
      <w:marRight w:val="0"/>
      <w:marTop w:val="0"/>
      <w:marBottom w:val="0"/>
      <w:divBdr>
        <w:top w:val="none" w:sz="0" w:space="0" w:color="auto"/>
        <w:left w:val="none" w:sz="0" w:space="0" w:color="auto"/>
        <w:bottom w:val="none" w:sz="0" w:space="0" w:color="auto"/>
        <w:right w:val="none" w:sz="0" w:space="0" w:color="auto"/>
      </w:divBdr>
    </w:div>
    <w:div w:id="1082684023">
      <w:bodyDiv w:val="1"/>
      <w:marLeft w:val="0"/>
      <w:marRight w:val="0"/>
      <w:marTop w:val="0"/>
      <w:marBottom w:val="0"/>
      <w:divBdr>
        <w:top w:val="none" w:sz="0" w:space="0" w:color="auto"/>
        <w:left w:val="none" w:sz="0" w:space="0" w:color="auto"/>
        <w:bottom w:val="none" w:sz="0" w:space="0" w:color="auto"/>
        <w:right w:val="none" w:sz="0" w:space="0" w:color="auto"/>
      </w:divBdr>
    </w:div>
    <w:div w:id="1114910392">
      <w:bodyDiv w:val="1"/>
      <w:marLeft w:val="0"/>
      <w:marRight w:val="0"/>
      <w:marTop w:val="0"/>
      <w:marBottom w:val="0"/>
      <w:divBdr>
        <w:top w:val="none" w:sz="0" w:space="0" w:color="auto"/>
        <w:left w:val="none" w:sz="0" w:space="0" w:color="auto"/>
        <w:bottom w:val="none" w:sz="0" w:space="0" w:color="auto"/>
        <w:right w:val="none" w:sz="0" w:space="0" w:color="auto"/>
      </w:divBdr>
    </w:div>
    <w:div w:id="1255089133">
      <w:bodyDiv w:val="1"/>
      <w:marLeft w:val="0"/>
      <w:marRight w:val="0"/>
      <w:marTop w:val="0"/>
      <w:marBottom w:val="0"/>
      <w:divBdr>
        <w:top w:val="none" w:sz="0" w:space="0" w:color="auto"/>
        <w:left w:val="none" w:sz="0" w:space="0" w:color="auto"/>
        <w:bottom w:val="none" w:sz="0" w:space="0" w:color="auto"/>
        <w:right w:val="none" w:sz="0" w:space="0" w:color="auto"/>
      </w:divBdr>
    </w:div>
    <w:div w:id="1352293257">
      <w:bodyDiv w:val="1"/>
      <w:marLeft w:val="0"/>
      <w:marRight w:val="0"/>
      <w:marTop w:val="0"/>
      <w:marBottom w:val="0"/>
      <w:divBdr>
        <w:top w:val="none" w:sz="0" w:space="0" w:color="auto"/>
        <w:left w:val="none" w:sz="0" w:space="0" w:color="auto"/>
        <w:bottom w:val="none" w:sz="0" w:space="0" w:color="auto"/>
        <w:right w:val="none" w:sz="0" w:space="0" w:color="auto"/>
      </w:divBdr>
    </w:div>
    <w:div w:id="1361584296">
      <w:bodyDiv w:val="1"/>
      <w:marLeft w:val="0"/>
      <w:marRight w:val="0"/>
      <w:marTop w:val="0"/>
      <w:marBottom w:val="0"/>
      <w:divBdr>
        <w:top w:val="none" w:sz="0" w:space="0" w:color="auto"/>
        <w:left w:val="none" w:sz="0" w:space="0" w:color="auto"/>
        <w:bottom w:val="none" w:sz="0" w:space="0" w:color="auto"/>
        <w:right w:val="none" w:sz="0" w:space="0" w:color="auto"/>
      </w:divBdr>
    </w:div>
    <w:div w:id="1420713661">
      <w:bodyDiv w:val="1"/>
      <w:marLeft w:val="0"/>
      <w:marRight w:val="0"/>
      <w:marTop w:val="0"/>
      <w:marBottom w:val="0"/>
      <w:divBdr>
        <w:top w:val="none" w:sz="0" w:space="0" w:color="auto"/>
        <w:left w:val="none" w:sz="0" w:space="0" w:color="auto"/>
        <w:bottom w:val="none" w:sz="0" w:space="0" w:color="auto"/>
        <w:right w:val="none" w:sz="0" w:space="0" w:color="auto"/>
      </w:divBdr>
    </w:div>
    <w:div w:id="1587766904">
      <w:bodyDiv w:val="1"/>
      <w:marLeft w:val="0"/>
      <w:marRight w:val="0"/>
      <w:marTop w:val="0"/>
      <w:marBottom w:val="0"/>
      <w:divBdr>
        <w:top w:val="none" w:sz="0" w:space="0" w:color="auto"/>
        <w:left w:val="none" w:sz="0" w:space="0" w:color="auto"/>
        <w:bottom w:val="none" w:sz="0" w:space="0" w:color="auto"/>
        <w:right w:val="none" w:sz="0" w:space="0" w:color="auto"/>
      </w:divBdr>
    </w:div>
    <w:div w:id="1654529124">
      <w:bodyDiv w:val="1"/>
      <w:marLeft w:val="0"/>
      <w:marRight w:val="0"/>
      <w:marTop w:val="0"/>
      <w:marBottom w:val="0"/>
      <w:divBdr>
        <w:top w:val="none" w:sz="0" w:space="0" w:color="auto"/>
        <w:left w:val="none" w:sz="0" w:space="0" w:color="auto"/>
        <w:bottom w:val="none" w:sz="0" w:space="0" w:color="auto"/>
        <w:right w:val="none" w:sz="0" w:space="0" w:color="auto"/>
      </w:divBdr>
    </w:div>
    <w:div w:id="1669097010">
      <w:bodyDiv w:val="1"/>
      <w:marLeft w:val="0"/>
      <w:marRight w:val="0"/>
      <w:marTop w:val="0"/>
      <w:marBottom w:val="0"/>
      <w:divBdr>
        <w:top w:val="none" w:sz="0" w:space="0" w:color="auto"/>
        <w:left w:val="none" w:sz="0" w:space="0" w:color="auto"/>
        <w:bottom w:val="none" w:sz="0" w:space="0" w:color="auto"/>
        <w:right w:val="none" w:sz="0" w:space="0" w:color="auto"/>
      </w:divBdr>
    </w:div>
    <w:div w:id="190005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x.doi.org/10.3923/jbs.2008.1072.1076" TargetMode="External"/><Relationship Id="rId21" Type="http://schemas.openxmlformats.org/officeDocument/2006/relationships/hyperlink" Target="https://dx.doi.org/10.3923/ijp.2015.152.176" TargetMode="External"/><Relationship Id="rId42" Type="http://schemas.openxmlformats.org/officeDocument/2006/relationships/hyperlink" Target="https://doi.org/10.1111/j.1365-2109.2010.02590.x" TargetMode="External"/><Relationship Id="rId47" Type="http://schemas.openxmlformats.org/officeDocument/2006/relationships/hyperlink" Target="https://doi.org/10.1111/j.1365-2109.2008.01972.x" TargetMode="External"/><Relationship Id="rId63" Type="http://schemas.openxmlformats.org/officeDocument/2006/relationships/hyperlink" Target="https://doi.org/10.1016/j.resmic.2017.07.003"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16/0378-8741(95)01275-I" TargetMode="External"/><Relationship Id="rId29" Type="http://schemas.openxmlformats.org/officeDocument/2006/relationships/hyperlink" Target="https://doi.org/10.5713/ajas.2004.394" TargetMode="External"/><Relationship Id="rId11" Type="http://schemas.openxmlformats.org/officeDocument/2006/relationships/hyperlink" Target="https://doi.org/10.1016/j.vetmic.2006.01.009" TargetMode="External"/><Relationship Id="rId24" Type="http://schemas.openxmlformats.org/officeDocument/2006/relationships/hyperlink" Target="https://doi.org/10.1046/j.1365-2672.1999.00780.x" TargetMode="External"/><Relationship Id="rId32" Type="http://schemas.openxmlformats.org/officeDocument/2006/relationships/hyperlink" Target="https://doi.org/10.3184%2F175815512X13350180713553" TargetMode="External"/><Relationship Id="rId37" Type="http://schemas.openxmlformats.org/officeDocument/2006/relationships/hyperlink" Target="https://doi.org/10.1046/j.1365-2672.1997.00153.x" TargetMode="External"/><Relationship Id="rId40" Type="http://schemas.openxmlformats.org/officeDocument/2006/relationships/hyperlink" Target="https://doi.org/10.1079/WPS200593" TargetMode="External"/><Relationship Id="rId45" Type="http://schemas.openxmlformats.org/officeDocument/2006/relationships/hyperlink" Target="https://doi.org/10.1016/j.aquaculture.2013.11.007" TargetMode="External"/><Relationship Id="rId53" Type="http://schemas.openxmlformats.org/officeDocument/2006/relationships/hyperlink" Target="https://doi.org/10.1046/j.1472-765X.1998.00303.x" TargetMode="External"/><Relationship Id="rId58" Type="http://schemas.openxmlformats.org/officeDocument/2006/relationships/hyperlink" Target="https://doi.org/10.1515/aoas-2016-0079" TargetMode="External"/><Relationship Id="rId66" Type="http://schemas.openxmlformats.org/officeDocument/2006/relationships/image" Target="media/image3.jpeg"/><Relationship Id="rId5" Type="http://schemas.openxmlformats.org/officeDocument/2006/relationships/settings" Target="settings.xml"/><Relationship Id="rId61" Type="http://schemas.openxmlformats.org/officeDocument/2006/relationships/hyperlink" Target="https://doi.org/10.3390/pathogens4010137" TargetMode="External"/><Relationship Id="rId19" Type="http://schemas.openxmlformats.org/officeDocument/2006/relationships/hyperlink" Target="https://doi.org/10.1007/s00394-004-1205-4" TargetMode="External"/><Relationship Id="rId14" Type="http://schemas.openxmlformats.org/officeDocument/2006/relationships/hyperlink" Target="https://doi.org/10.1186/1741-7015-9-24" TargetMode="External"/><Relationship Id="rId22" Type="http://schemas.openxmlformats.org/officeDocument/2006/relationships/hyperlink" Target="https://doi.org/10.1016/j.aquaculture.2012.04.027" TargetMode="External"/><Relationship Id="rId27" Type="http://schemas.openxmlformats.org/officeDocument/2006/relationships/hyperlink" Target="https://doi.org/10.1016/j.aquaculture.2015.07.029" TargetMode="External"/><Relationship Id="rId30" Type="http://schemas.openxmlformats.org/officeDocument/2006/relationships/hyperlink" Target="https://doi.org/10.3147/jsfp.25.93" TargetMode="External"/><Relationship Id="rId35" Type="http://schemas.openxmlformats.org/officeDocument/2006/relationships/hyperlink" Target="https://doi.org/10.1038/nrmicro1978" TargetMode="External"/><Relationship Id="rId43" Type="http://schemas.openxmlformats.org/officeDocument/2006/relationships/hyperlink" Target="https://doi.org/10.1016/j.indcrop.2015.06.050" TargetMode="External"/><Relationship Id="rId48" Type="http://schemas.openxmlformats.org/officeDocument/2006/relationships/hyperlink" Target="https://doi.org/10.1016/j.fsi.2010.09.001" TargetMode="External"/><Relationship Id="rId56" Type="http://schemas.openxmlformats.org/officeDocument/2006/relationships/hyperlink" Target="https://doi.org/10.1016/j.fsi.2016.07.008" TargetMode="External"/><Relationship Id="rId64" Type="http://schemas.openxmlformats.org/officeDocument/2006/relationships/image" Target="media/image1.jpeg"/><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dx.doi.org/10.3923/ajpsaj.2016.1.29" TargetMode="External"/><Relationship Id="rId3" Type="http://schemas.openxmlformats.org/officeDocument/2006/relationships/numbering" Target="numbering.xml"/><Relationship Id="rId12" Type="http://schemas.openxmlformats.org/officeDocument/2006/relationships/hyperlink" Target="https://doi.org/10.5897/AJMR12.814" TargetMode="External"/><Relationship Id="rId17" Type="http://schemas.openxmlformats.org/officeDocument/2006/relationships/hyperlink" Target="https://doi.org/10.1016/B978-0-407-01163-2.50010-2" TargetMode="External"/><Relationship Id="rId25" Type="http://schemas.openxmlformats.org/officeDocument/2006/relationships/hyperlink" Target="https://doi.org/10.1016/j.fsi.2010.09.013" TargetMode="External"/><Relationship Id="rId33" Type="http://schemas.openxmlformats.org/officeDocument/2006/relationships/hyperlink" Target="https://doi.org/10.1016/j.fsi.2014.04.015" TargetMode="External"/><Relationship Id="rId38" Type="http://schemas.openxmlformats.org/officeDocument/2006/relationships/hyperlink" Target="https://doi.org/10.1016/S1671-2927(11)60118-1" TargetMode="External"/><Relationship Id="rId46" Type="http://schemas.openxmlformats.org/officeDocument/2006/relationships/hyperlink" Target="https://doi.org/10.1016/j.aquaculture.2014.05.048" TargetMode="External"/><Relationship Id="rId59" Type="http://schemas.openxmlformats.org/officeDocument/2006/relationships/hyperlink" Target="https://doi.org/10.5713/ajas.2003.282" TargetMode="External"/><Relationship Id="rId67" Type="http://schemas.openxmlformats.org/officeDocument/2006/relationships/image" Target="media/image4.jpeg"/><Relationship Id="rId20" Type="http://schemas.openxmlformats.org/officeDocument/2006/relationships/hyperlink" Target="https://doi.org/10.1007/BF00040718" TargetMode="External"/><Relationship Id="rId41" Type="http://schemas.openxmlformats.org/officeDocument/2006/relationships/hyperlink" Target="https://doi.org/10.1002/jsfa.3358" TargetMode="External"/><Relationship Id="rId54" Type="http://schemas.openxmlformats.org/officeDocument/2006/relationships/hyperlink" Target="https://doi.org/10.1038/nrmicro2974" TargetMode="External"/><Relationship Id="rId62" Type="http://schemas.openxmlformats.org/officeDocument/2006/relationships/hyperlink" Target="https://doi.org/10.3382/ps.2008-0009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016/j.vetpar.2005.07.005" TargetMode="External"/><Relationship Id="rId23" Type="http://schemas.openxmlformats.org/officeDocument/2006/relationships/hyperlink" Target="https://doi.org/10.1111/j.1574-695X.2007.00343.x" TargetMode="External"/><Relationship Id="rId28" Type="http://schemas.openxmlformats.org/officeDocument/2006/relationships/hyperlink" Target="https://doi.org/10.1016/j.tvjl.2010.03.003" TargetMode="External"/><Relationship Id="rId36" Type="http://schemas.openxmlformats.org/officeDocument/2006/relationships/hyperlink" Target="https://doi.org/10.5713/ajas.15.0309" TargetMode="External"/><Relationship Id="rId49" Type="http://schemas.openxmlformats.org/officeDocument/2006/relationships/hyperlink" Target="https://doi.org/10.1079/WPS19960005" TargetMode="External"/><Relationship Id="rId57" Type="http://schemas.openxmlformats.org/officeDocument/2006/relationships/hyperlink" Target="https://doi.org/10.1016/j.aquaculture.2013.02.043" TargetMode="External"/><Relationship Id="rId10" Type="http://schemas.openxmlformats.org/officeDocument/2006/relationships/hyperlink" Target="https://doi.org/10.1100/tsw.2002.137" TargetMode="External"/><Relationship Id="rId31" Type="http://schemas.openxmlformats.org/officeDocument/2006/relationships/hyperlink" Target="https://doi.org/10.1016/j.phrs.2009.11.001" TargetMode="External"/><Relationship Id="rId44" Type="http://schemas.openxmlformats.org/officeDocument/2006/relationships/hyperlink" Target="https://doi.org/10.3945/jn.115.229377" TargetMode="External"/><Relationship Id="rId52" Type="http://schemas.openxmlformats.org/officeDocument/2006/relationships/hyperlink" Target="https://doi.org/10.1111/j.1574-6941.2011.01155.x" TargetMode="External"/><Relationship Id="rId60" Type="http://schemas.openxmlformats.org/officeDocument/2006/relationships/hyperlink" Target="https://doi.org/10.2527/jas.2007-0459" TargetMode="External"/><Relationship Id="rId65"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researchgate.net/deref/http%3A%2F%2Fdx.doi.org%2F10.14196%2Fsjpas.v2i8.868?_sg%5B0%5D=yvBD3fhjtE2lz55rGtPeYFEncWt9i4FY-P5BdjVhniiaujq1KNB_wDOSEzHDEWcIdL7dFgzXWfwsSDxgViUIbiC6fA.iMCiSkreQwJP6IE6JYKk2YXSFHUGi0I3UnrSN54WZdEYbzE-j8ymnv3siHWCXIDk3FYo2t-nwYrZYMaNIVUnAg" TargetMode="External"/><Relationship Id="rId13" Type="http://schemas.openxmlformats.org/officeDocument/2006/relationships/hyperlink" Target="https://doi.org/10.17221/7029-VETMED" TargetMode="External"/><Relationship Id="rId18" Type="http://schemas.openxmlformats.org/officeDocument/2006/relationships/hyperlink" Target="https://doi.org/10.1007/s10499-009-9253-7" TargetMode="External"/><Relationship Id="rId39" Type="http://schemas.openxmlformats.org/officeDocument/2006/relationships/hyperlink" Target="https://doi.org/10.1023/A:1004029332114" TargetMode="External"/><Relationship Id="rId34" Type="http://schemas.openxmlformats.org/officeDocument/2006/relationships/hyperlink" Target="https://doi.org/10.1080/0007166031000085508" TargetMode="External"/><Relationship Id="rId50" Type="http://schemas.openxmlformats.org/officeDocument/2006/relationships/hyperlink" Target="https://doi.org/10.1007/s11703-009-0052-8" TargetMode="External"/><Relationship Id="rId55" Type="http://schemas.openxmlformats.org/officeDocument/2006/relationships/hyperlink" Target="https://doi.org/10.1111/raq.12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Ayp91</b:Tag>
    <b:SourceType>Report</b:SourceType>
    <b:Guid>{103A3A35-AE14-4128-9F3E-0A3C7033F0DA}</b:Guid>
    <b:Title>A contribution to the biology of Herengula tawilis in Taal Lake, Batangas</b:Title>
    <b:Year>1991</b:Year>
    <b:Publisher>BFAR, Project completion report to the Department of Agriculture, Philippines</b:Publisher>
    <b:Author>
      <b:Author>
        <b:NameList>
          <b:Person>
            <b:Last>Aypa</b:Last>
            <b:Middle>M.</b:Middle>
            <b:First>S.</b:First>
          </b:Person>
          <b:Person>
            <b:Last>Galicia, Jr.</b:Last>
            <b:Middle>M.</b:Middle>
            <b:First>A.</b:First>
          </b:Person>
          <b:Person>
            <b:Last>Lapasaran</b:Last>
            <b:Middle>S.</b:Middle>
            <b:First>E.</b:First>
          </b:Person>
        </b:NameList>
      </b:Author>
    </b:Author>
    <b:Pages>12</b:Pages>
    <b:RefOrder>4</b:RefOrder>
  </b:Source>
  <b:Source>
    <b:Tag>FAO74</b:Tag>
    <b:SourceType>BookSection</b:SourceType>
    <b:Guid>{AF97AE97-D112-419A-AFB0-5B7FCB9C3821}</b:Guid>
    <b:Title>Manual of Fisheries Science</b:Title>
    <b:Year>1974</b:Year>
    <b:Pages>Paper no. 115 Rev. 1. 214 p.</b:Pages>
    <b:Author>
      <b:Author>
        <b:NameList>
          <b:Person>
            <b:Last>FAO</b:Last>
          </b:Person>
        </b:NameList>
      </b:Author>
    </b:Author>
    <b:Publisher>FAO Fisheris  Tech.</b:Publisher>
    <b:BookTitle>Part 2-methods of rsource Investigation and their Application.</b:BookTitle>
    <b:RefOrder>12</b:RefOrder>
  </b:Source>
  <b:Source>
    <b:Tag>Lae65</b:Tag>
    <b:SourceType>JournalArticle</b:SourceType>
    <b:Guid>{2BD66B8F-BB96-4540-917E-E2DF570DFAD2}</b:Guid>
    <b:Title>Manual of Methods In Fisheries Biology. </b:Title>
    <b:JournalName>FAO Man. Fish Sci. (1) fasc</b:JournalName>
    <b:Year>1965</b:Year>
    <b:Pages>Rome 51 p.</b:Pages>
    <b:Author>
      <b:Author>
        <b:NameList>
          <b:Person>
            <b:Last>Laevastu</b:Last>
            <b:First>T.</b:First>
          </b:Person>
        </b:NameList>
      </b:Author>
    </b:Author>
    <b:RefOrder>13</b:RefOrder>
  </b:Source>
  <b:Source>
    <b:Tag>Ame98</b:Tag>
    <b:SourceType>Book</b:SourceType>
    <b:Guid>{D164862A-2581-4D00-81EA-3C9B4422E7C2}</b:Guid>
    <b:Title>Standard Methods for Examination of Water and Wastewater</b:Title>
    <b:Year>1998</b:Year>
    <b:Publisher>American Publich Health Association, Inc.</b:Publisher>
    <b:City>Washington DC</b:City>
    <b:Author>
      <b:Author>
        <b:Corporate>APHA</b:Corporate>
      </b:Author>
    </b:Author>
    <b:Edition>20th</b:Edition>
    <b:RefOrder>17</b:RefOrder>
  </b:Source>
  <b:Source>
    <b:Tag>Zaf98</b:Tag>
    <b:SourceType>Report</b:SourceType>
    <b:Guid>{2C488FD0-8C8B-4097-8BD3-93B1F9049B36}</b:Guid>
    <b:Title>Microalgae of Taal Lake</b:Title>
    <b:Year>1998</b:Year>
    <b:Publisher>National Academy of Science and Technology,Department of Science and Tchnology</b:Publisher>
    <b:City>Bicutan, Taguig, Metro Manila, Philippines.</b:City>
    <b:Author>
      <b:Author>
        <b:NameList>
          <b:Person>
            <b:Last>Zafaralla</b:Last>
            <b:Middle>T.</b:Middle>
            <b:First>M.</b:First>
          </b:Person>
        </b:NameList>
      </b:Author>
    </b:Author>
    <b:RefOrder>20</b:RefOrder>
  </b:Source>
  <b:Source>
    <b:Tag>Mam78</b:Tag>
    <b:SourceType>Report</b:SourceType>
    <b:Guid>{1E916A81-2816-4302-A0C7-16D188B2F8B3}</b:Guid>
    <b:Title>Freshwater Zooplankton of the Phillipines; Rotifera, Cladocera and Copepoda.</b:Title>
    <b:Year>1978</b:Year>
    <b:Author>
      <b:Author>
        <b:NameList>
          <b:Person>
            <b:Last>Mamaril SR</b:Last>
            <b:Middle>A.</b:Middle>
            <b:First>C.</b:First>
          </b:Person>
          <b:Person>
            <b:Last>Fernando</b:Last>
            <b:Middle>H.</b:Middle>
            <b:First>C.</b:First>
          </b:Person>
        </b:NameList>
      </b:Author>
    </b:Author>
    <b:RefOrder>21</b:RefOrder>
  </b:Source>
  <b:Source>
    <b:Tag>Pap11</b:Tag>
    <b:SourceType>JournalArticle</b:SourceType>
    <b:Guid>{5DE2486E-2677-4758-ADBD-B3E32259C93D}</b:Guid>
    <b:Title>The composition, Diversity and Community dynamics of Limnetics zooplankton in a tropical caldera lake (Lake Taal, Philippines)</b:Title>
    <b:Year>2011</b:Year>
    <b:Author>
      <b:Author>
        <b:NameList>
          <b:Person>
            <b:Last>Papa</b:Last>
            <b:Middle>D. S.</b:Middle>
            <b:First>R.</b:First>
          </b:Person>
          <b:Person>
            <b:Last>Zafaralla</b:Last>
            <b:Middle>T.</b:Middle>
            <b:First>M.</b:First>
          </b:Person>
        </b:NameList>
      </b:Author>
    </b:Author>
    <b:RefOrder>22</b:RefOrder>
  </b:Source>
  <b:Source>
    <b:Tag>Sek</b:Tag>
    <b:SourceType>JournalArticle</b:SourceType>
    <b:Guid>{F1BA31A0-DD64-48C7-AF12-71C44640DF62}</b:Guid>
    <b:Title>Spawning concentrations of the sardine, Sardinella gibbosa (Bleeker), off the North Andhra Coast in March - April 1969</b:Title>
    <b:Author>
      <b:Author>
        <b:NameList>
          <b:Person>
            <b:Last>Sekharan</b:Last>
            <b:Middle>V.</b:Middle>
            <b:First>K.</b:First>
          </b:Person>
          <b:Person>
            <b:Last>Muthu</b:Last>
            <b:Middle>S.</b:Middle>
            <b:First>M.</b:First>
          </b:Person>
          <b:Person>
            <b:Last>Rao</b:Last>
            <b:First>G Sudhakara</b:First>
          </b:Person>
          <b:Person>
            <b:Last>Rao</b:Last>
            <b:First>B Narayana</b:First>
          </b:Person>
        </b:NameList>
      </b:Author>
    </b:Author>
    <b:JournalName>Indian J. Fish.</b:JournalName>
    <b:Year>1969</b:Year>
    <b:Pages>156-160</b:Pages>
    <b:Volume>16</b:Volume>
    <b:Issue>1 &amp; 2</b:Issue>
    <b:RefOrder>24</b:RefOrder>
  </b:Source>
  <b:Source>
    <b:Tag>Gho13</b:Tag>
    <b:SourceType>JournalArticle</b:SourceType>
    <b:Guid>{05FD0663-727E-40A0-AAAF-32DE52482F15}</b:Guid>
    <b:Title>Reproductive biology and population characteristics of Sardinella gibbosa and Sardinella fimbriata from north west Bay of Bengal</b:Title>
    <b:JournalName>Indian Journal of Geo-Marine Sciences</b:JournalName>
    <b:Year>2013</b:Year>
    <b:Pages>758-769</b:Pages>
    <b:Volume>42</b:Volume>
    <b:Issue>6</b:Issue>
    <b:Author>
      <b:Author>
        <b:NameList>
          <b:Person>
            <b:Last>Ghosh</b:Last>
            <b:First>S.</b:First>
          </b:Person>
          <b:Person>
            <b:Last>Rao</b:Last>
            <b:Middle>Hanumantha</b:Middle>
            <b:First>MV</b:First>
          </b:Person>
          <b:Person>
            <b:Last>Sumithrudu</b:Last>
            <b:Middle>S</b:Middle>
            <b:First>M</b:First>
          </b:Person>
          <b:Person>
            <b:Last>Rohit</b:Last>
            <b:First>P.</b:First>
          </b:Person>
          <b:Person>
            <b:Last>Maheswarudu</b:Last>
            <b:First>G</b:First>
          </b:Person>
        </b:NameList>
      </b:Author>
    </b:Author>
    <b:RefOrder>25</b:RefOrder>
  </b:Source>
  <b:Source>
    <b:Tag>Rad64</b:Tag>
    <b:SourceType>JournalArticle</b:SourceType>
    <b:Guid>{A3F4638B-AEA0-4F04-8A3C-69D2E23DC3AF}</b:Guid>
    <b:Title>Notes on some aspects of the biology of the fringe scale sardine, Sardinella fimbriata</b:Title>
    <b:JournalName>Indian J. Fish.</b:JournalName>
    <b:Year>1964</b:Year>
    <b:Pages>127</b:Pages>
    <b:Volume>11</b:Volume>
    <b:Author>
      <b:Author>
        <b:NameList>
          <b:Person>
            <b:Last>Radhakrishnan</b:Last>
            <b:First>N.</b:First>
          </b:Person>
        </b:NameList>
      </b:Author>
    </b:Author>
    <b:RefOrder>26</b:RefOrder>
  </b:Source>
  <b:Source>
    <b:Tag>Mut15</b:Tag>
    <b:SourceType>Report</b:SourceType>
    <b:Guid>{9A72EDC1-822F-4E87-9728-CABB6C5DE4A4}</b:Guid>
    <b:Title>Spawning season and larval distribution of the freshwater sardine Sardinella tawilis in Taal Lake, Philippines</b:Title>
    <b:Year>2015</b:Year>
    <b:Author>
      <b:Author>
        <b:NameList>
          <b:Person>
            <b:Last>Mutia</b:Last>
            <b:Middle>M.</b:Middle>
            <b:First>M. T.</b:First>
          </b:Person>
          <b:Person>
            <b:Last>Muyot</b:Last>
            <b:Middle>C.</b:Middle>
            <b:First>M.</b:First>
          </b:Person>
          <b:Person>
            <b:Last>Tuazon</b:Last>
            <b:Middle>T.</b:Middle>
            <b:First>J.</b:First>
          </b:Person>
          <b:Person>
            <b:Last>Tordecilla</b:Last>
            <b:Middle>D.</b:Middle>
            <b:First>B.</b:First>
          </b:Person>
          <b:Person>
            <b:Last>Faminialagao</b:Last>
            <b:Middle>M.</b:Middle>
            <b:First>C.</b:First>
          </b:Person>
          <b:Person>
            <b:Last>Alcazar</b:Last>
            <b:Middle>M.</b:Middle>
            <b:First>M. T.</b:First>
          </b:Person>
          <b:Person>
            <b:Last>Merilles</b:Last>
            <b:Middle>D.</b:Middle>
            <b:First>M. L.</b:First>
          </b:Person>
        </b:NameList>
      </b:Author>
    </b:Author>
    <b:Publisher>NFRDI Annual Terminal Report</b:Publisher>
    <b:City>Quezon City</b:City>
    <b:RefOrder>10</b:RefOrder>
  </b:Source>
  <b:Source>
    <b:Tag>Mut14</b:Tag>
    <b:SourceType>Report</b:SourceType>
    <b:Guid>{20DC3B8D-AE23-4DC5-A1EC-CF8B3CC2076D}</b:Guid>
    <b:Title>Reproductive biology of the freshwater sardine Sardinella tawilis (Herre, 1927) and the spatio-temporal distribution of its larvae in Taal Lake, Philippines</b:Title>
    <b:Year>2014</b:Year>
    <b:Publisher>NFRDI Annual Terminal Report</b:Publisher>
    <b:City>Quezon City</b:City>
    <b:Author>
      <b:Author>
        <b:NameList>
          <b:Person>
            <b:Last>Mutia</b:Last>
            <b:Middle>M.</b:Middle>
            <b:First>M. T.</b:First>
          </b:Person>
          <b:Person>
            <b:Last>Muyot</b:Last>
            <b:Middle>C.</b:Middle>
            <b:First>M.</b:First>
          </b:Person>
          <b:Person>
            <b:Last>Merilles</b:Last>
            <b:Middle>D.</b:Middle>
            <b:First>M. L.</b:First>
          </b:Person>
          <b:Person>
            <b:Last>Tordecilla</b:Last>
            <b:Middle>D.</b:Middle>
            <b:First>B.</b:First>
          </b:Person>
          <b:Person>
            <b:Last>Faminialagao</b:Last>
            <b:Middle>M.</b:Middle>
            <b:First>C.</b:First>
          </b:Person>
          <b:Person>
            <b:Last>Reganit</b:Last>
            <b:Middle>C.</b:Middle>
            <b:First>L. F.</b:First>
          </b:Person>
          <b:Person>
            <b:Last>Alcazar</b:Last>
            <b:Middle>M.</b:Middle>
            <b:First>M. T.</b:First>
          </b:Person>
        </b:NameList>
      </b:Author>
    </b:Author>
    <b:RefOrder>9</b:RefOrder>
  </b:Source>
  <b:Source>
    <b:Tag>Won80</b:Tag>
    <b:SourceType>Report</b:SourceType>
    <b:Guid>{C02A14F1-B3CA-4327-8685-D228B09952B9}</b:Guid>
    <b:Year>1980</b:Year>
    <b:Author>
      <b:Author>
        <b:NameList>
          <b:Person>
            <b:Last>Wongratana</b:Last>
            <b:First>T.</b:First>
          </b:Person>
        </b:NameList>
      </b:Author>
    </b:Author>
    <b:Title>Systematics of clupeoid fishes of the Indo-Pacific region</b:Title>
    <b:Pages>432</b:Pages>
    <b:Publisher>PhD. Thesis. University of London</b:Publisher>
    <b:RefOrder>1</b:RefOrder>
  </b:Source>
  <b:Source>
    <b:Tag>Whi851</b:Tag>
    <b:SourceType>Book</b:SourceType>
    <b:Guid>{F43BF6C5-1BF1-444D-B944-18F0E359AB8C}</b:Guid>
    <b:Year>1985</b:Year>
    <b:Author>
      <b:Author>
        <b:NameList>
          <b:Person>
            <b:Last>Whitehead</b:Last>
            <b:Middle>P.</b:Middle>
            <b:First>P. J.</b:First>
          </b:Person>
        </b:NameList>
      </b:Author>
    </b:Author>
    <b:Title>FAO Species Catalogue. Vol. 7. Clupeoid Fishes of the World (SubOrder Clupeoidei). An annotated and illustrated catalogue of the herrings, sardines, pilchards, sprats, shads, anchovies and wolf-herrings. </b:Title>
    <b:Pages>1-303</b:Pages>
    <b:Volume>7 Part 1</b:Volume>
    <b:City>Rome</b:City>
    <b:Publisher>FAO Fish Synop No. 125</b:Publisher>
    <b:RefOrder>2</b:RefOrder>
  </b:Source>
  <b:Source>
    <b:Tag>Mut04</b:Tag>
    <b:SourceType>ConferenceProceedings</b:SourceType>
    <b:Guid>{A482E761-7774-429E-9B15-092176679105}</b:Guid>
    <b:Title>Status of Sardinella tawilis in Taal Lake, Batangas, Philippines</b:Title>
    <b:Year>2004</b:Year>
    <b:City>: Los Baños, Laguna</b:City>
    <b:Publisher>Proceedings of the 8th Zonal Research and Development Review, October 6-7, 2004, De la Salle University, Taft Avenue, Manila. CD-ROM. Philippine Council for Aquatic and Marine R&amp;D and Southern Luzon Zonal Center for Aquatic and Marine R &amp; D</b:Publisher>
    <b:Author>
      <b:Author>
        <b:NameList>
          <b:Person>
            <b:Last>Mutia</b:Last>
            <b:Middle>M.</b:Middle>
            <b:First>M.T.</b:First>
          </b:Person>
          <b:Person>
            <b:Last>Magistrado</b:Last>
            <b:Middle>L.</b:Middle>
            <b:First>M.</b:First>
          </b:Person>
          <b:Person>
            <b:Last>Muyot</b:Last>
            <b:Middle>C.</b:Middle>
            <b:First>M.</b:First>
          </b:Person>
        </b:NameList>
      </b:Author>
    </b:Author>
    <b:RefOrder>3</b:RefOrder>
  </b:Source>
  <b:Source>
    <b:Tag>Cas75</b:Tag>
    <b:SourceType>ConferenceProceedings</b:SourceType>
    <b:Guid>{9AD4F9B5-1AC1-424E-8DBA-C87A9DF431C2}</b:Guid>
    <b:Title>Tawilis fishery resources investigation of Taal Lake</b:Title>
    <b:Year>1975</b:Year>
    <b:Pages>75-98</b:Pages>
    <b:Author>
      <b:Author>
        <b:NameList>
          <b:Person>
            <b:Last>Castillo</b:Last>
            <b:Middle>B.</b:Middle>
            <b:First>B.</b:First>
          </b:Person>
          <b:Person>
            <b:Last>Castillo</b:Last>
            <b:Middle>S.</b:Middle>
            <b:First>A.</b:First>
          </b:Person>
          <b:Person>
            <b:Last>Gonzales</b:Last>
            <b:Middle>L.</b:Middle>
            <b:First>C.</b:First>
          </b:Person>
        </b:NameList>
      </b:Author>
    </b:Author>
    <b:Publisher>In Philippine Council for Agriculture and Resources Research Fisheries Forum. Philippine Council for Agriculture and Resources Research, Los Baños, Laguna, Philippines.</b:Publisher>
    <b:RefOrder>5</b:RefOrder>
  </b:Source>
  <b:Source>
    <b:Tag>Mut10</b:Tag>
    <b:SourceType>ConferenceProceedings</b:SourceType>
    <b:Guid>{457DED1F-D509-4068-A0FA-AE8D056B0BC1}</b:Guid>
    <b:Title>Seasonality, abundance and biology of tawilis (Sardinella tawilis) in Taal Lake, Batangas</b:Title>
    <b:Year>2010</b:Year>
    <b:City>College, Laguna</b:City>
    <b:Publisher>Proceedings of the 2nd National Congress on Philippine Lakes. April 27-29, 2011. SEARCA, UPLB</b:Publisher>
    <b:Author>
      <b:Author>
        <b:NameList>
          <b:Person>
            <b:Last>Mutia</b:Last>
            <b:Middle>M.</b:Middle>
            <b:First>M.T.</b:First>
          </b:Person>
          <b:Person>
            <b:Last>Muyot</b:Last>
            <b:Middle>C.</b:Middle>
            <b:First>M.</b:First>
          </b:Person>
          <b:Person>
            <b:Last>Torres</b:Last>
            <b:Middle>B.</b:Middle>
            <b:First>F.</b:First>
          </b:Person>
          <b:Person>
            <b:Last>Faminialagao</b:Last>
            <b:Middle>M.</b:Middle>
            <b:First>C.</b:First>
          </b:Person>
        </b:NameList>
      </b:Author>
    </b:Author>
    <b:RefOrder>6</b:RefOrder>
  </b:Source>
  <b:Source>
    <b:Tag>Mag12</b:Tag>
    <b:SourceType>JournalArticle</b:SourceType>
    <b:Guid>{C1738F2A-2252-4904-9C3D-F7687FE48A21}</b:Guid>
    <b:Title>Feeding biology and diet composition of freshwater sardine, Sardinella tawilis from Taal Lake (Batangas) in Southern Luzon, Philippines</b:Title>
    <b:Year>2012</b:Year>
    <b:Author>
      <b:Author>
        <b:NameList>
          <b:Person>
            <b:Last>Magsino</b:Last>
            <b:Middle>M.</b:Middle>
            <b:First>R.</b:First>
          </b:Person>
        </b:NameList>
      </b:Author>
    </b:Author>
    <b:RefOrder>7</b:RefOrder>
  </b:Source>
  <b:Source>
    <b:Tag>Pap08</b:Tag>
    <b:SourceType>JournalArticle</b:SourceType>
    <b:Guid>{7B23316A-A36A-4D19-96AB-9FCDBC11547E}</b:Guid>
    <b:Title>Zooplanktivory in the endemic freshwater sardine, Sardinella tawilis (Herre 1927) of Taal Lake, Philippines</b:Title>
    <b:JournalName>Zoological Studies 47 (5)</b:JournalName>
    <b:Year>2008</b:Year>
    <b:Pages>535-543</b:Pages>
    <b:Author>
      <b:Author>
        <b:NameList>
          <b:Person>
            <b:Last>Papa</b:Last>
            <b:Middle>S.</b:Middle>
            <b:First>R. D.</b:First>
          </b:Person>
          <b:Person>
            <b:Last>Pagulayan</b:Last>
            <b:Middle>C.</b:Middle>
            <b:First>R.</b:First>
          </b:Person>
          <b:Person>
            <b:Last>Pagulayan</b:Last>
            <b:Middle>J.</b:Middle>
            <b:First>A. E.</b:First>
          </b:Person>
        </b:NameList>
      </b:Author>
    </b:Author>
    <b:RefOrder>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589F0-BE9A-4D84-9954-CF5F649B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NFBC</dc:creator>
  <cp:lastModifiedBy>Cyrene Moncawe</cp:lastModifiedBy>
  <cp:revision>10</cp:revision>
  <cp:lastPrinted>2018-09-15T04:33:00Z</cp:lastPrinted>
  <dcterms:created xsi:type="dcterms:W3CDTF">2021-01-21T03:43:00Z</dcterms:created>
  <dcterms:modified xsi:type="dcterms:W3CDTF">2022-07-21T08:36:00Z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http://www.zotero.org/styles/taylor-and-francis-council-of-science-editors-author-date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http://www.zotero.org/styles/taylor-and-francis-council-of-science-editors-author-date</vt:lpwstr>
  </property>
  <property fmtid="{D5CDD505-2E9C-101B-9397-08002B2CF9AE}" pid="24" name="Mendeley Recent Style Name 9_1">
    <vt:lpwstr>Taylor &amp; Francis - Council of Science Editors (author-date)</vt:lpwstr>
  </property>
  <property fmtid="{D5CDD505-2E9C-101B-9397-08002B2CF9AE}" pid="25" name="KSOProductBuildVer">
    <vt:lpwstr>1033-11.2.0.8942</vt:lpwstr>
  </property>
</Properties>
</file>